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1AFF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b/>
          <w:color w:val="333333"/>
          <w:sz w:val="28"/>
          <w:szCs w:val="28"/>
        </w:rPr>
      </w:pPr>
      <w:r>
        <w:rPr>
          <w:rFonts w:hint="eastAsia" w:ascii="微软雅黑" w:hAnsi="微软雅黑" w:eastAsia="微软雅黑"/>
          <w:b/>
          <w:color w:val="333333"/>
          <w:sz w:val="28"/>
          <w:szCs w:val="28"/>
        </w:rPr>
        <w:t>《</w:t>
      </w:r>
      <w:r>
        <w:rPr>
          <w:rFonts w:hint="eastAsia" w:ascii="微软雅黑" w:hAnsi="微软雅黑" w:eastAsia="微软雅黑"/>
          <w:b/>
          <w:color w:val="333333"/>
          <w:sz w:val="28"/>
          <w:szCs w:val="28"/>
          <w:lang w:val="en-US" w:eastAsia="zh-CN"/>
        </w:rPr>
        <w:t>常熟市沙家浜镇中心镇区（GX16、17、18单元）</w:t>
      </w:r>
      <w:r>
        <w:rPr>
          <w:rFonts w:hint="eastAsia" w:ascii="微软雅黑" w:hAnsi="微软雅黑" w:eastAsia="微软雅黑"/>
          <w:b/>
          <w:color w:val="333333"/>
          <w:sz w:val="28"/>
          <w:szCs w:val="28"/>
        </w:rPr>
        <w:t>详细规划》</w:t>
      </w:r>
    </w:p>
    <w:p w14:paraId="75FBBB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微软雅黑" w:hAnsi="微软雅黑" w:eastAsia="微软雅黑"/>
          <w:b/>
          <w:color w:val="525252"/>
        </w:rPr>
      </w:pPr>
      <w:r>
        <w:rPr>
          <w:rFonts w:hint="eastAsia" w:ascii="微软雅黑" w:hAnsi="微软雅黑" w:eastAsia="微软雅黑"/>
          <w:b/>
          <w:color w:val="333333"/>
          <w:sz w:val="33"/>
          <w:szCs w:val="33"/>
        </w:rPr>
        <w:t>批前公示</w:t>
      </w:r>
    </w:p>
    <w:p w14:paraId="28DAA8E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color w:val="525252"/>
          <w:sz w:val="24"/>
          <w:szCs w:val="24"/>
        </w:rPr>
      </w:pPr>
      <w:r>
        <w:rPr>
          <w:rFonts w:ascii="微软雅黑" w:hAnsi="微软雅黑" w:eastAsia="微软雅黑"/>
          <w:color w:val="525252"/>
          <w:sz w:val="24"/>
          <w:szCs w:val="24"/>
        </w:rPr>
        <w:t>为</w:t>
      </w:r>
      <w:r>
        <w:rPr>
          <w:rFonts w:hint="eastAsia" w:ascii="微软雅黑" w:hAnsi="微软雅黑" w:eastAsia="微软雅黑"/>
          <w:color w:val="525252"/>
          <w:sz w:val="24"/>
          <w:szCs w:val="24"/>
        </w:rPr>
        <w:t>贯彻上位规划</w:t>
      </w:r>
      <w:r>
        <w:rPr>
          <w:rFonts w:ascii="微软雅黑" w:hAnsi="微软雅黑" w:eastAsia="微软雅黑"/>
          <w:color w:val="525252"/>
          <w:sz w:val="24"/>
          <w:szCs w:val="24"/>
        </w:rPr>
        <w:t>战略意图，落实总体规划对详细规划</w:t>
      </w:r>
      <w:r>
        <w:rPr>
          <w:rFonts w:hint="eastAsia" w:ascii="微软雅黑" w:hAnsi="微软雅黑" w:eastAsia="微软雅黑"/>
          <w:color w:val="525252"/>
          <w:sz w:val="24"/>
          <w:szCs w:val="24"/>
        </w:rPr>
        <w:t>的</w:t>
      </w:r>
      <w:r>
        <w:rPr>
          <w:rFonts w:ascii="微软雅黑" w:hAnsi="微软雅黑" w:eastAsia="微软雅黑"/>
          <w:color w:val="525252"/>
          <w:sz w:val="24"/>
          <w:szCs w:val="24"/>
        </w:rPr>
        <w:t>传导要求，</w:t>
      </w:r>
      <w:r>
        <w:rPr>
          <w:rFonts w:hint="eastAsia" w:ascii="微软雅黑" w:hAnsi="微软雅黑" w:eastAsia="微软雅黑"/>
          <w:color w:val="525252"/>
          <w:sz w:val="24"/>
          <w:szCs w:val="24"/>
        </w:rPr>
        <w:t>协调相关部门要求，</w:t>
      </w:r>
      <w:r>
        <w:rPr>
          <w:rFonts w:hint="eastAsia" w:ascii="微软雅黑" w:hAnsi="微软雅黑" w:eastAsia="微软雅黑"/>
          <w:color w:val="525252"/>
          <w:sz w:val="24"/>
          <w:szCs w:val="24"/>
          <w:lang w:val="en-US" w:eastAsia="zh-CN"/>
        </w:rPr>
        <w:t>适应沙家浜镇中心镇区的发展需求，</w:t>
      </w:r>
      <w:r>
        <w:rPr>
          <w:rFonts w:hint="eastAsia" w:ascii="微软雅黑" w:hAnsi="微软雅黑" w:eastAsia="微软雅黑"/>
          <w:color w:val="525252"/>
          <w:sz w:val="24"/>
          <w:szCs w:val="24"/>
        </w:rPr>
        <w:t>改善</w:t>
      </w:r>
      <w:r>
        <w:rPr>
          <w:rFonts w:hint="eastAsia" w:ascii="微软雅黑" w:hAnsi="微软雅黑" w:eastAsia="微软雅黑"/>
          <w:color w:val="525252"/>
          <w:sz w:val="24"/>
          <w:szCs w:val="24"/>
          <w:lang w:val="en-US" w:eastAsia="zh-CN"/>
        </w:rPr>
        <w:t>城</w:t>
      </w:r>
      <w:r>
        <w:rPr>
          <w:rFonts w:hint="eastAsia" w:ascii="微软雅黑" w:hAnsi="微软雅黑" w:eastAsia="微软雅黑"/>
          <w:color w:val="525252"/>
          <w:sz w:val="24"/>
          <w:szCs w:val="24"/>
        </w:rPr>
        <w:t>镇环境品质</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lang w:val="en-US" w:eastAsia="zh-CN"/>
        </w:rPr>
        <w:t>优化空间布局</w:t>
      </w:r>
      <w:r>
        <w:rPr>
          <w:rFonts w:hint="eastAsia" w:ascii="微软雅黑" w:hAnsi="微软雅黑" w:eastAsia="微软雅黑"/>
          <w:color w:val="525252"/>
          <w:sz w:val="24"/>
          <w:szCs w:val="24"/>
        </w:rPr>
        <w:t>，切实指导</w:t>
      </w:r>
      <w:r>
        <w:rPr>
          <w:rFonts w:hint="eastAsia" w:ascii="微软雅黑" w:hAnsi="微软雅黑" w:eastAsia="微软雅黑"/>
          <w:color w:val="525252"/>
          <w:sz w:val="24"/>
          <w:szCs w:val="24"/>
          <w:lang w:val="en-US" w:eastAsia="zh-CN"/>
        </w:rPr>
        <w:t>沙家浜镇中心镇区</w:t>
      </w:r>
      <w:r>
        <w:rPr>
          <w:rFonts w:hint="eastAsia" w:ascii="微软雅黑" w:hAnsi="微软雅黑" w:eastAsia="微软雅黑"/>
          <w:color w:val="525252"/>
          <w:sz w:val="24"/>
          <w:szCs w:val="24"/>
        </w:rPr>
        <w:t>的开发建设，规范该地区的规划与建设管理，常熟高新技术产业开发区管理委员会</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rPr>
        <w:t>常熟市</w:t>
      </w:r>
      <w:r>
        <w:rPr>
          <w:rFonts w:hint="eastAsia" w:ascii="微软雅黑" w:hAnsi="微软雅黑" w:eastAsia="微软雅黑"/>
          <w:color w:val="525252"/>
          <w:sz w:val="24"/>
          <w:szCs w:val="24"/>
          <w:lang w:val="en-US" w:eastAsia="zh-CN"/>
        </w:rPr>
        <w:t>沙家浜镇人民政府</w:t>
      </w:r>
      <w:r>
        <w:rPr>
          <w:rFonts w:hint="eastAsia" w:ascii="微软雅黑" w:hAnsi="微软雅黑" w:eastAsia="微软雅黑"/>
          <w:color w:val="525252"/>
          <w:sz w:val="24"/>
          <w:szCs w:val="24"/>
        </w:rPr>
        <w:t>委托江苏省城市规划设计研究院有限公司编制了《</w:t>
      </w:r>
      <w:r>
        <w:rPr>
          <w:rFonts w:hint="eastAsia" w:ascii="微软雅黑" w:hAnsi="微软雅黑" w:eastAsia="微软雅黑"/>
          <w:color w:val="525252"/>
          <w:sz w:val="24"/>
          <w:szCs w:val="24"/>
          <w:lang w:val="en-US" w:eastAsia="zh-CN"/>
        </w:rPr>
        <w:t>常熟市沙家浜镇中心镇区（GX16、17、18单元）</w:t>
      </w:r>
      <w:r>
        <w:rPr>
          <w:rFonts w:hint="eastAsia" w:ascii="微软雅黑" w:hAnsi="微软雅黑" w:eastAsia="微软雅黑"/>
          <w:color w:val="525252"/>
          <w:sz w:val="24"/>
          <w:szCs w:val="24"/>
        </w:rPr>
        <w:t>详细规划》。目前，该规划已完成阶段性成果，为进一步增强规划编制的科学性和合理性，现根据《中华人民共和国城乡规划法》，将该规划进行批前公示。</w:t>
      </w:r>
    </w:p>
    <w:p w14:paraId="279BA77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olor w:val="525252"/>
          <w:sz w:val="24"/>
          <w:szCs w:val="24"/>
        </w:rPr>
      </w:pPr>
      <w:r>
        <w:rPr>
          <w:rFonts w:hint="eastAsia" w:ascii="微软雅黑" w:hAnsi="微软雅黑" w:eastAsia="微软雅黑"/>
          <w:color w:val="525252"/>
          <w:sz w:val="24"/>
          <w:szCs w:val="24"/>
        </w:rPr>
        <w:t>本次规划公示期为30天，自202</w:t>
      </w:r>
      <w:r>
        <w:rPr>
          <w:rFonts w:hint="eastAsia" w:ascii="微软雅黑" w:hAnsi="微软雅黑" w:eastAsia="微软雅黑"/>
          <w:color w:val="525252"/>
          <w:sz w:val="24"/>
          <w:szCs w:val="24"/>
          <w:lang w:val="en-US" w:eastAsia="zh-CN"/>
        </w:rPr>
        <w:t>4</w:t>
      </w:r>
      <w:r>
        <w:rPr>
          <w:rFonts w:hint="eastAsia" w:ascii="微软雅黑" w:hAnsi="微软雅黑" w:eastAsia="微软雅黑"/>
          <w:color w:val="525252"/>
          <w:sz w:val="24"/>
          <w:szCs w:val="24"/>
        </w:rPr>
        <w:t>年</w:t>
      </w:r>
      <w:r>
        <w:rPr>
          <w:rFonts w:hint="eastAsia" w:ascii="微软雅黑" w:hAnsi="微软雅黑" w:eastAsia="微软雅黑"/>
          <w:color w:val="525252"/>
          <w:sz w:val="24"/>
          <w:szCs w:val="24"/>
          <w:lang w:val="en-US" w:eastAsia="zh-CN"/>
        </w:rPr>
        <w:t>12</w:t>
      </w:r>
      <w:r>
        <w:rPr>
          <w:rFonts w:hint="eastAsia" w:ascii="微软雅黑" w:hAnsi="微软雅黑" w:eastAsia="微软雅黑"/>
          <w:color w:val="525252"/>
          <w:sz w:val="24"/>
          <w:szCs w:val="24"/>
        </w:rPr>
        <w:t>月</w:t>
      </w:r>
      <w:r>
        <w:rPr>
          <w:rFonts w:hint="eastAsia" w:ascii="微软雅黑" w:hAnsi="微软雅黑" w:eastAsia="微软雅黑"/>
          <w:color w:val="525252"/>
          <w:sz w:val="24"/>
          <w:szCs w:val="24"/>
          <w:lang w:val="en-US" w:eastAsia="zh-CN"/>
        </w:rPr>
        <w:t>11</w:t>
      </w:r>
      <w:r>
        <w:rPr>
          <w:rFonts w:hint="eastAsia" w:ascii="微软雅黑" w:hAnsi="微软雅黑" w:eastAsia="微软雅黑"/>
          <w:color w:val="525252"/>
          <w:sz w:val="24"/>
          <w:szCs w:val="24"/>
        </w:rPr>
        <w:t>日，至202</w:t>
      </w:r>
      <w:r>
        <w:rPr>
          <w:rFonts w:hint="eastAsia" w:ascii="微软雅黑" w:hAnsi="微软雅黑" w:eastAsia="微软雅黑"/>
          <w:color w:val="525252"/>
          <w:sz w:val="24"/>
          <w:szCs w:val="24"/>
          <w:lang w:val="en-US" w:eastAsia="zh-CN"/>
        </w:rPr>
        <w:t>5</w:t>
      </w:r>
      <w:r>
        <w:rPr>
          <w:rFonts w:hint="eastAsia" w:ascii="微软雅黑" w:hAnsi="微软雅黑" w:eastAsia="微软雅黑"/>
          <w:color w:val="525252"/>
          <w:sz w:val="24"/>
          <w:szCs w:val="24"/>
        </w:rPr>
        <w:t>年</w:t>
      </w:r>
      <w:r>
        <w:rPr>
          <w:rFonts w:hint="eastAsia" w:ascii="微软雅黑" w:hAnsi="微软雅黑" w:eastAsia="微软雅黑"/>
          <w:color w:val="525252"/>
          <w:sz w:val="24"/>
          <w:szCs w:val="24"/>
          <w:lang w:val="en-US" w:eastAsia="zh-CN"/>
        </w:rPr>
        <w:t>1</w:t>
      </w:r>
      <w:r>
        <w:rPr>
          <w:rFonts w:hint="eastAsia" w:ascii="微软雅黑" w:hAnsi="微软雅黑" w:eastAsia="微软雅黑"/>
          <w:color w:val="525252"/>
          <w:sz w:val="24"/>
          <w:szCs w:val="24"/>
        </w:rPr>
        <w:t>月</w:t>
      </w:r>
      <w:r>
        <w:rPr>
          <w:rFonts w:hint="eastAsia" w:ascii="微软雅黑" w:hAnsi="微软雅黑" w:eastAsia="微软雅黑"/>
          <w:color w:val="525252"/>
          <w:sz w:val="24"/>
          <w:szCs w:val="24"/>
          <w:lang w:val="en-US" w:eastAsia="zh-CN"/>
        </w:rPr>
        <w:t>9</w:t>
      </w:r>
      <w:r>
        <w:rPr>
          <w:rFonts w:hint="eastAsia" w:ascii="微软雅黑" w:hAnsi="微软雅黑" w:eastAsia="微软雅黑"/>
          <w:color w:val="525252"/>
          <w:sz w:val="24"/>
          <w:szCs w:val="24"/>
        </w:rPr>
        <w:t>日止。如有意见和建议，请于公示时间内向常熟高新技术产业开发区管理委员会反馈，联系电话：</w:t>
      </w:r>
      <w:r>
        <w:rPr>
          <w:rFonts w:hint="eastAsia" w:ascii="微软雅黑" w:hAnsi="微软雅黑" w:eastAsia="微软雅黑"/>
          <w:color w:val="525252"/>
          <w:sz w:val="24"/>
          <w:szCs w:val="24"/>
          <w:lang w:val="en-US" w:eastAsia="zh-CN"/>
        </w:rPr>
        <w:t>0512-52579868</w:t>
      </w:r>
      <w:r>
        <w:rPr>
          <w:rFonts w:hint="eastAsia" w:ascii="微软雅黑" w:hAnsi="微软雅黑" w:eastAsia="微软雅黑"/>
          <w:color w:val="525252"/>
          <w:sz w:val="24"/>
          <w:szCs w:val="24"/>
        </w:rPr>
        <w:t>。</w:t>
      </w:r>
    </w:p>
    <w:p w14:paraId="049C565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olor w:val="525252"/>
          <w:sz w:val="24"/>
          <w:szCs w:val="24"/>
        </w:rPr>
      </w:pPr>
      <w:bookmarkStart w:id="0" w:name="_GoBack"/>
      <w:bookmarkEnd w:id="0"/>
    </w:p>
    <w:p w14:paraId="42787C4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b/>
          <w:color w:val="525252"/>
          <w:sz w:val="24"/>
          <w:szCs w:val="24"/>
        </w:rPr>
      </w:pPr>
      <w:r>
        <w:rPr>
          <w:rFonts w:hint="eastAsia" w:ascii="微软雅黑" w:hAnsi="微软雅黑" w:eastAsia="微软雅黑"/>
          <w:b/>
          <w:color w:val="525252"/>
          <w:sz w:val="24"/>
          <w:szCs w:val="24"/>
        </w:rPr>
        <w:t>一</w:t>
      </w:r>
      <w:r>
        <w:rPr>
          <w:rFonts w:ascii="微软雅黑" w:hAnsi="微软雅黑" w:eastAsia="微软雅黑"/>
          <w:b/>
          <w:color w:val="525252"/>
          <w:sz w:val="24"/>
          <w:szCs w:val="24"/>
        </w:rPr>
        <w:t>、</w:t>
      </w:r>
      <w:r>
        <w:rPr>
          <w:rFonts w:hint="eastAsia" w:ascii="微软雅黑" w:hAnsi="微软雅黑" w:eastAsia="微软雅黑"/>
          <w:b/>
          <w:color w:val="525252"/>
          <w:sz w:val="24"/>
          <w:szCs w:val="24"/>
        </w:rPr>
        <w:t>规划范围</w:t>
      </w:r>
    </w:p>
    <w:p w14:paraId="3956CE6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color w:val="525252"/>
          <w:sz w:val="24"/>
          <w:szCs w:val="24"/>
        </w:rPr>
      </w:pPr>
      <w:r>
        <w:rPr>
          <w:rFonts w:hint="eastAsia" w:ascii="微软雅黑" w:hAnsi="微软雅黑" w:eastAsia="微软雅黑"/>
          <w:color w:val="525252"/>
          <w:sz w:val="24"/>
          <w:szCs w:val="24"/>
        </w:rPr>
        <w:t>本次规划范围位于常熟高新区东南侧</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rPr>
        <w:t>沙家浜镇</w:t>
      </w:r>
      <w:r>
        <w:rPr>
          <w:rFonts w:hint="eastAsia" w:ascii="微软雅黑" w:hAnsi="微软雅黑" w:eastAsia="微软雅黑"/>
          <w:color w:val="525252"/>
          <w:sz w:val="24"/>
          <w:szCs w:val="24"/>
          <w:lang w:val="en-US" w:eastAsia="zh-CN"/>
        </w:rPr>
        <w:t>域</w:t>
      </w:r>
      <w:r>
        <w:rPr>
          <w:rFonts w:hint="eastAsia" w:ascii="微软雅黑" w:hAnsi="微软雅黑" w:eastAsia="微软雅黑"/>
          <w:color w:val="525252"/>
          <w:sz w:val="24"/>
          <w:szCs w:val="24"/>
        </w:rPr>
        <w:t>范围</w:t>
      </w:r>
      <w:r>
        <w:rPr>
          <w:rFonts w:hint="eastAsia" w:ascii="微软雅黑" w:hAnsi="微软雅黑" w:eastAsia="微软雅黑"/>
          <w:color w:val="525252"/>
          <w:sz w:val="24"/>
          <w:szCs w:val="24"/>
          <w:lang w:val="en-US" w:eastAsia="zh-CN"/>
        </w:rPr>
        <w:t>内</w:t>
      </w:r>
      <w:r>
        <w:rPr>
          <w:rFonts w:hint="eastAsia" w:ascii="微软雅黑" w:hAnsi="微软雅黑" w:eastAsia="微软雅黑"/>
          <w:color w:val="525252"/>
          <w:sz w:val="24"/>
          <w:szCs w:val="24"/>
        </w:rPr>
        <w:t>，涉及GX16、17、18三个单元。</w:t>
      </w:r>
      <w:r>
        <w:rPr>
          <w:rFonts w:hint="eastAsia" w:ascii="微软雅黑" w:hAnsi="微软雅黑" w:eastAsia="微软雅黑"/>
          <w:color w:val="525252"/>
          <w:sz w:val="24"/>
          <w:szCs w:val="24"/>
          <w:lang w:val="en-US" w:eastAsia="zh-CN"/>
        </w:rPr>
        <w:t>北至大滃河，西至张家港河，东至银河路、尤泾，南至南环路，</w:t>
      </w:r>
      <w:r>
        <w:rPr>
          <w:rFonts w:hint="eastAsia" w:ascii="微软雅黑" w:hAnsi="微软雅黑" w:eastAsia="微软雅黑"/>
          <w:color w:val="525252"/>
          <w:sz w:val="24"/>
          <w:szCs w:val="24"/>
        </w:rPr>
        <w:t>总面积为</w:t>
      </w:r>
      <w:r>
        <w:rPr>
          <w:rFonts w:hint="eastAsia" w:ascii="微软雅黑" w:hAnsi="微软雅黑" w:eastAsia="微软雅黑"/>
          <w:color w:val="525252"/>
          <w:sz w:val="24"/>
          <w:szCs w:val="24"/>
          <w:lang w:val="en-US" w:eastAsia="zh-CN"/>
        </w:rPr>
        <w:t>16.78</w:t>
      </w:r>
      <w:r>
        <w:rPr>
          <w:rFonts w:hint="eastAsia" w:ascii="微软雅黑" w:hAnsi="微软雅黑" w:eastAsia="微软雅黑"/>
          <w:color w:val="525252"/>
          <w:sz w:val="24"/>
          <w:szCs w:val="24"/>
        </w:rPr>
        <w:t>平方</w:t>
      </w:r>
      <w:r>
        <w:rPr>
          <w:rFonts w:hint="eastAsia" w:ascii="微软雅黑" w:hAnsi="微软雅黑" w:eastAsia="微软雅黑"/>
          <w:color w:val="525252"/>
          <w:sz w:val="24"/>
          <w:szCs w:val="24"/>
          <w:lang w:val="en-US" w:eastAsia="zh-CN"/>
        </w:rPr>
        <w:t>公里</w:t>
      </w:r>
      <w:r>
        <w:rPr>
          <w:rFonts w:hint="eastAsia" w:ascii="微软雅黑" w:hAnsi="微软雅黑" w:eastAsia="微软雅黑"/>
          <w:color w:val="525252"/>
          <w:sz w:val="24"/>
          <w:szCs w:val="24"/>
        </w:rPr>
        <w:t>。</w:t>
      </w:r>
    </w:p>
    <w:p w14:paraId="08AFDA2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b/>
          <w:color w:val="525252"/>
          <w:sz w:val="24"/>
          <w:szCs w:val="24"/>
        </w:rPr>
      </w:pPr>
      <w:r>
        <w:rPr>
          <w:rFonts w:hint="eastAsia" w:ascii="微软雅黑" w:hAnsi="微软雅黑" w:eastAsia="微软雅黑"/>
          <w:b/>
          <w:color w:val="525252"/>
          <w:sz w:val="24"/>
          <w:szCs w:val="24"/>
        </w:rPr>
        <w:t>二</w:t>
      </w:r>
      <w:r>
        <w:rPr>
          <w:rFonts w:ascii="微软雅黑" w:hAnsi="微软雅黑" w:eastAsia="微软雅黑"/>
          <w:b/>
          <w:color w:val="525252"/>
          <w:sz w:val="24"/>
          <w:szCs w:val="24"/>
        </w:rPr>
        <w:t>、</w:t>
      </w:r>
      <w:r>
        <w:rPr>
          <w:rFonts w:hint="eastAsia" w:ascii="微软雅黑" w:hAnsi="微软雅黑" w:eastAsia="微软雅黑"/>
          <w:b/>
          <w:color w:val="525252"/>
          <w:sz w:val="24"/>
          <w:szCs w:val="24"/>
        </w:rPr>
        <w:t>规划定位</w:t>
      </w:r>
    </w:p>
    <w:p w14:paraId="053D009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color w:val="525252"/>
          <w:sz w:val="24"/>
          <w:szCs w:val="24"/>
        </w:rPr>
      </w:pPr>
      <w:r>
        <w:rPr>
          <w:rFonts w:hint="eastAsia" w:ascii="微软雅黑" w:hAnsi="微软雅黑" w:eastAsia="微软雅黑"/>
          <w:color w:val="525252"/>
          <w:sz w:val="24"/>
          <w:szCs w:val="24"/>
        </w:rPr>
        <w:t>目标定位：</w:t>
      </w:r>
      <w:r>
        <w:rPr>
          <w:rFonts w:hint="eastAsia" w:ascii="微软雅黑" w:hAnsi="微软雅黑" w:eastAsia="微软雅黑"/>
          <w:color w:val="525252"/>
          <w:sz w:val="24"/>
          <w:szCs w:val="24"/>
          <w:lang w:val="en-US" w:eastAsia="zh-CN"/>
        </w:rPr>
        <w:t>古今交融、产镇融合、生态宜居的中国历史文化名镇</w:t>
      </w:r>
      <w:r>
        <w:rPr>
          <w:rFonts w:hint="eastAsia" w:ascii="微软雅黑" w:hAnsi="微软雅黑" w:eastAsia="微软雅黑"/>
          <w:color w:val="525252"/>
          <w:sz w:val="24"/>
          <w:szCs w:val="24"/>
        </w:rPr>
        <w:t>。</w:t>
      </w:r>
    </w:p>
    <w:p w14:paraId="7CDB0F6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color w:val="525252"/>
          <w:sz w:val="24"/>
          <w:szCs w:val="24"/>
        </w:rPr>
      </w:pPr>
      <w:r>
        <w:rPr>
          <w:rFonts w:hint="eastAsia" w:ascii="微软雅黑" w:hAnsi="微软雅黑" w:eastAsia="微软雅黑"/>
          <w:color w:val="525252"/>
          <w:sz w:val="24"/>
          <w:szCs w:val="24"/>
        </w:rPr>
        <w:t>功能定位：</w:t>
      </w:r>
      <w:r>
        <w:rPr>
          <w:rFonts w:hint="eastAsia" w:ascii="微软雅黑" w:hAnsi="微软雅黑" w:eastAsia="微软雅黑"/>
          <w:color w:val="525252"/>
          <w:sz w:val="24"/>
          <w:szCs w:val="24"/>
          <w:lang w:val="en-US" w:eastAsia="zh-CN"/>
        </w:rPr>
        <w:t>GX16、17单元聚焦智能制造、创新研发、产业服务等功能，</w:t>
      </w:r>
      <w:r>
        <w:rPr>
          <w:rFonts w:hint="eastAsia" w:ascii="微软雅黑" w:hAnsi="微软雅黑" w:eastAsia="微软雅黑"/>
          <w:color w:val="525252"/>
          <w:sz w:val="24"/>
          <w:szCs w:val="24"/>
        </w:rPr>
        <w:t>打造常熟</w:t>
      </w:r>
      <w:r>
        <w:rPr>
          <w:rFonts w:hint="eastAsia" w:ascii="微软雅黑" w:hAnsi="微软雅黑" w:eastAsia="微软雅黑"/>
          <w:color w:val="525252"/>
          <w:sz w:val="24"/>
          <w:szCs w:val="24"/>
          <w:lang w:val="en-US" w:eastAsia="zh-CN"/>
        </w:rPr>
        <w:t>高新区南侧先进制造业集聚区</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lang w:val="en-US" w:eastAsia="zh-CN"/>
        </w:rPr>
        <w:t>GX18单元聚焦综合服务、古镇旅游、品质居住，擦亮中国历史文化名镇品牌</w:t>
      </w:r>
      <w:r>
        <w:rPr>
          <w:rFonts w:hint="eastAsia" w:ascii="微软雅黑" w:hAnsi="微软雅黑" w:eastAsia="微软雅黑"/>
          <w:color w:val="525252"/>
          <w:sz w:val="24"/>
          <w:szCs w:val="24"/>
        </w:rPr>
        <w:t>。</w:t>
      </w:r>
    </w:p>
    <w:p w14:paraId="435A792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b/>
          <w:color w:val="525252"/>
          <w:sz w:val="24"/>
          <w:szCs w:val="24"/>
        </w:rPr>
      </w:pPr>
      <w:r>
        <w:rPr>
          <w:rFonts w:hint="eastAsia" w:ascii="微软雅黑" w:hAnsi="微软雅黑" w:eastAsia="微软雅黑"/>
          <w:b/>
          <w:color w:val="525252"/>
          <w:sz w:val="24"/>
          <w:szCs w:val="24"/>
        </w:rPr>
        <w:t>三</w:t>
      </w:r>
      <w:r>
        <w:rPr>
          <w:rFonts w:ascii="微软雅黑" w:hAnsi="微软雅黑" w:eastAsia="微软雅黑"/>
          <w:b/>
          <w:color w:val="525252"/>
          <w:sz w:val="24"/>
          <w:szCs w:val="24"/>
        </w:rPr>
        <w:t>、</w:t>
      </w:r>
      <w:r>
        <w:rPr>
          <w:rFonts w:hint="eastAsia" w:ascii="微软雅黑" w:hAnsi="微软雅黑" w:eastAsia="微软雅黑"/>
          <w:b/>
          <w:color w:val="525252"/>
          <w:sz w:val="24"/>
          <w:szCs w:val="24"/>
        </w:rPr>
        <w:t>规划结构</w:t>
      </w:r>
    </w:p>
    <w:p w14:paraId="44B4D4B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color w:val="525252"/>
          <w:sz w:val="24"/>
          <w:szCs w:val="24"/>
        </w:rPr>
      </w:pPr>
      <w:r>
        <w:rPr>
          <w:rFonts w:hint="eastAsia" w:ascii="微软雅黑" w:hAnsi="微软雅黑" w:eastAsia="微软雅黑"/>
          <w:color w:val="525252"/>
          <w:sz w:val="24"/>
          <w:szCs w:val="24"/>
        </w:rPr>
        <w:t>规划形成“一核一带两轴六组团</w:t>
      </w:r>
      <w:r>
        <w:rPr>
          <w:rFonts w:hint="eastAsia" w:ascii="微软雅黑" w:hAnsi="微软雅黑" w:eastAsia="微软雅黑"/>
          <w:color w:val="525252"/>
          <w:sz w:val="24"/>
          <w:szCs w:val="24"/>
          <w:lang w:val="en-US" w:eastAsia="zh-CN"/>
        </w:rPr>
        <w:t>多中心</w:t>
      </w:r>
      <w:r>
        <w:rPr>
          <w:rFonts w:hint="eastAsia" w:ascii="微软雅黑" w:hAnsi="微软雅黑" w:eastAsia="微软雅黑"/>
          <w:color w:val="525252"/>
          <w:sz w:val="24"/>
          <w:szCs w:val="24"/>
        </w:rPr>
        <w:t>”的空间布局结构。</w:t>
      </w:r>
    </w:p>
    <w:p w14:paraId="3F6EFAD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rPr>
        <w:t>一核</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lang w:val="en-US" w:eastAsia="zh-CN"/>
        </w:rPr>
        <w:t>指</w:t>
      </w:r>
      <w:r>
        <w:rPr>
          <w:rFonts w:hint="eastAsia" w:ascii="微软雅黑" w:hAnsi="微软雅黑" w:eastAsia="微软雅黑"/>
          <w:color w:val="525252"/>
          <w:sz w:val="24"/>
          <w:szCs w:val="24"/>
        </w:rPr>
        <w:t>沙家浜</w:t>
      </w:r>
      <w:r>
        <w:rPr>
          <w:rFonts w:hint="eastAsia" w:ascii="微软雅黑" w:hAnsi="微软雅黑" w:eastAsia="微软雅黑"/>
          <w:color w:val="525252"/>
          <w:sz w:val="24"/>
          <w:szCs w:val="24"/>
          <w:lang w:val="en-US" w:eastAsia="zh-CN"/>
        </w:rPr>
        <w:t>镇</w:t>
      </w:r>
      <w:r>
        <w:rPr>
          <w:rFonts w:hint="eastAsia" w:ascii="微软雅黑" w:hAnsi="微软雅黑" w:eastAsia="微软雅黑"/>
          <w:color w:val="525252"/>
          <w:sz w:val="24"/>
          <w:szCs w:val="24"/>
        </w:rPr>
        <w:t>镇区核心</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lang w:val="en-US" w:eastAsia="zh-CN"/>
        </w:rPr>
        <w:t>位于中环路与凌云路交叉口，依托历史镇区文旅服务、商业服务设施等，打造中心镇区综合服务中心。</w:t>
      </w:r>
    </w:p>
    <w:p w14:paraId="4663D0E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rPr>
        <w:t>一带</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lang w:val="en-US" w:eastAsia="zh-CN"/>
        </w:rPr>
        <w:t>指依托</w:t>
      </w:r>
      <w:r>
        <w:rPr>
          <w:rFonts w:hint="eastAsia" w:ascii="微软雅黑" w:hAnsi="微软雅黑" w:eastAsia="微软雅黑"/>
          <w:color w:val="525252"/>
          <w:sz w:val="24"/>
          <w:szCs w:val="24"/>
        </w:rPr>
        <w:t>锡太公路</w:t>
      </w:r>
      <w:r>
        <w:rPr>
          <w:rFonts w:hint="eastAsia" w:ascii="微软雅黑" w:hAnsi="微软雅黑" w:eastAsia="微软雅黑"/>
          <w:color w:val="525252"/>
          <w:sz w:val="24"/>
          <w:szCs w:val="24"/>
          <w:lang w:val="en-US" w:eastAsia="zh-CN"/>
        </w:rPr>
        <w:t>形成的</w:t>
      </w:r>
      <w:r>
        <w:rPr>
          <w:rFonts w:hint="eastAsia" w:ascii="微软雅黑" w:hAnsi="微软雅黑" w:eastAsia="微软雅黑"/>
          <w:color w:val="525252"/>
          <w:sz w:val="24"/>
          <w:szCs w:val="24"/>
        </w:rPr>
        <w:t>渔文旅融合发展示范带</w:t>
      </w:r>
      <w:r>
        <w:rPr>
          <w:rFonts w:hint="eastAsia" w:ascii="微软雅黑" w:hAnsi="微软雅黑" w:eastAsia="微软雅黑"/>
          <w:color w:val="525252"/>
          <w:sz w:val="24"/>
          <w:szCs w:val="24"/>
          <w:lang w:eastAsia="zh-CN"/>
        </w:rPr>
        <w:t>，</w:t>
      </w:r>
      <w:r>
        <w:rPr>
          <w:rFonts w:hint="eastAsia" w:ascii="微软雅黑" w:hAnsi="微软雅黑" w:eastAsia="微软雅黑"/>
          <w:color w:val="525252"/>
          <w:sz w:val="24"/>
          <w:szCs w:val="24"/>
          <w:lang w:val="en-US" w:eastAsia="zh-CN"/>
        </w:rPr>
        <w:t>衔接常熟沙家浜渔文旅融合发展片区规划，串联沙家浜风景区、办事处片区等，探索渔文旅融合协同发展模式。</w:t>
      </w:r>
    </w:p>
    <w:p w14:paraId="4F96077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eastAsia="zh-CN"/>
        </w:rPr>
        <w:t>“两轴”</w:t>
      </w:r>
      <w:r>
        <w:rPr>
          <w:rFonts w:hint="eastAsia" w:ascii="微软雅黑" w:hAnsi="微软雅黑" w:eastAsia="微软雅黑"/>
          <w:color w:val="525252"/>
          <w:sz w:val="24"/>
          <w:szCs w:val="24"/>
          <w:lang w:val="en-US" w:eastAsia="zh-CN"/>
        </w:rPr>
        <w:t>指一是依托</w:t>
      </w:r>
      <w:r>
        <w:rPr>
          <w:rFonts w:hint="eastAsia" w:ascii="微软雅黑" w:hAnsi="微软雅黑" w:eastAsia="微软雅黑"/>
          <w:color w:val="525252"/>
          <w:sz w:val="24"/>
          <w:szCs w:val="24"/>
          <w:lang w:eastAsia="zh-CN"/>
        </w:rPr>
        <w:t>银河路</w:t>
      </w:r>
      <w:r>
        <w:rPr>
          <w:rFonts w:hint="eastAsia" w:ascii="微软雅黑" w:hAnsi="微软雅黑" w:eastAsia="微软雅黑"/>
          <w:color w:val="525252"/>
          <w:sz w:val="24"/>
          <w:szCs w:val="24"/>
          <w:lang w:val="en-US" w:eastAsia="zh-CN"/>
        </w:rPr>
        <w:t>形成的</w:t>
      </w:r>
      <w:r>
        <w:rPr>
          <w:rFonts w:hint="eastAsia" w:ascii="微软雅黑" w:hAnsi="微软雅黑" w:eastAsia="微软雅黑"/>
          <w:color w:val="525252"/>
          <w:sz w:val="24"/>
          <w:szCs w:val="24"/>
          <w:lang w:eastAsia="zh-CN"/>
        </w:rPr>
        <w:t>产镇融合发展轴，</w:t>
      </w:r>
      <w:r>
        <w:rPr>
          <w:rFonts w:hint="eastAsia" w:ascii="微软雅黑" w:hAnsi="微软雅黑" w:eastAsia="微软雅黑"/>
          <w:color w:val="525252"/>
          <w:sz w:val="24"/>
          <w:szCs w:val="24"/>
          <w:lang w:val="en-US" w:eastAsia="zh-CN"/>
        </w:rPr>
        <w:t>串联“北工南居”两大功能片区；二是依托常台高速形成的高速生态景观轴，划分GX16、17单元，是基地主要对外交通通道。</w:t>
      </w:r>
    </w:p>
    <w:p w14:paraId="2BF1B17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eastAsia="zh-CN"/>
        </w:rPr>
        <w:t>“六组团”</w:t>
      </w:r>
      <w:r>
        <w:rPr>
          <w:rFonts w:hint="eastAsia" w:ascii="微软雅黑" w:hAnsi="微软雅黑" w:eastAsia="微软雅黑"/>
          <w:color w:val="525252"/>
          <w:sz w:val="24"/>
          <w:szCs w:val="24"/>
          <w:lang w:val="en-US" w:eastAsia="zh-CN"/>
        </w:rPr>
        <w:t>指依据功能布局，划分为</w:t>
      </w:r>
      <w:r>
        <w:rPr>
          <w:rFonts w:hint="eastAsia" w:ascii="微软雅黑" w:hAnsi="微软雅黑" w:eastAsia="微软雅黑"/>
          <w:color w:val="525252"/>
          <w:sz w:val="24"/>
          <w:szCs w:val="24"/>
          <w:lang w:eastAsia="zh-CN"/>
        </w:rPr>
        <w:t>古镇文旅组团、诗意水乡组团、乐活居住组团、产城融合组团、先进制造组团、智慧产业组团。</w:t>
      </w:r>
    </w:p>
    <w:p w14:paraId="14258C6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color w:val="525252"/>
          <w:sz w:val="24"/>
          <w:szCs w:val="24"/>
        </w:rPr>
      </w:pPr>
      <w:r>
        <w:rPr>
          <w:rFonts w:hint="eastAsia" w:ascii="微软雅黑" w:hAnsi="微软雅黑" w:eastAsia="微软雅黑"/>
          <w:color w:val="525252"/>
          <w:sz w:val="24"/>
          <w:szCs w:val="24"/>
          <w:lang w:eastAsia="zh-CN"/>
        </w:rPr>
        <w:t>“多中心”指依托</w:t>
      </w:r>
      <w:r>
        <w:rPr>
          <w:rFonts w:hint="eastAsia" w:ascii="微软雅黑" w:hAnsi="微软雅黑" w:eastAsia="微软雅黑"/>
          <w:color w:val="525252"/>
          <w:sz w:val="24"/>
          <w:szCs w:val="24"/>
          <w:lang w:val="en-US" w:eastAsia="zh-CN"/>
        </w:rPr>
        <w:t>商业</w:t>
      </w:r>
      <w:r>
        <w:rPr>
          <w:rFonts w:hint="eastAsia" w:ascii="微软雅黑" w:hAnsi="微软雅黑" w:eastAsia="微软雅黑"/>
          <w:color w:val="525252"/>
          <w:sz w:val="24"/>
          <w:szCs w:val="24"/>
          <w:lang w:eastAsia="zh-CN"/>
        </w:rPr>
        <w:t>、公共服务等设施</w:t>
      </w:r>
      <w:r>
        <w:rPr>
          <w:rFonts w:hint="eastAsia" w:ascii="微软雅黑" w:hAnsi="微软雅黑" w:eastAsia="微软雅黑"/>
          <w:color w:val="525252"/>
          <w:sz w:val="24"/>
          <w:szCs w:val="24"/>
          <w:lang w:val="en-US" w:eastAsia="zh-CN"/>
        </w:rPr>
        <w:t>分别形成的特色服务节点，划分</w:t>
      </w:r>
      <w:r>
        <w:rPr>
          <w:rFonts w:hint="eastAsia" w:ascii="微软雅黑" w:hAnsi="微软雅黑" w:eastAsia="微软雅黑"/>
          <w:color w:val="525252"/>
          <w:sz w:val="24"/>
          <w:szCs w:val="24"/>
          <w:lang w:eastAsia="zh-CN"/>
        </w:rPr>
        <w:t>多个产业社区中心、居住社区中心。</w:t>
      </w:r>
    </w:p>
    <w:p w14:paraId="6E6FE7A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80" w:firstLineChars="200"/>
        <w:textAlignment w:val="auto"/>
        <w:rPr>
          <w:rFonts w:ascii="微软雅黑" w:hAnsi="微软雅黑" w:eastAsia="微软雅黑"/>
          <w:b/>
          <w:color w:val="525252"/>
          <w:sz w:val="24"/>
          <w:szCs w:val="24"/>
        </w:rPr>
      </w:pPr>
      <w:r>
        <w:rPr>
          <w:rFonts w:ascii="微软雅黑" w:hAnsi="微软雅黑" w:eastAsia="微软雅黑"/>
          <w:b/>
          <w:color w:val="525252"/>
          <w:sz w:val="24"/>
          <w:szCs w:val="24"/>
        </w:rPr>
        <w:t>居住社区规划</w:t>
      </w:r>
    </w:p>
    <w:p w14:paraId="44E212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 xml:space="preserve">统筹规划1个15分钟生活圈，7个5-10分钟生活圈。以沙家浜镇区为15分钟生活圈核心，综合提供公共服务、文旅休闲等功能，7个5-10分钟生活圈就近满足居民生活需求。规划至 2035 年城镇人口规模为5万人。 </w:t>
      </w:r>
    </w:p>
    <w:p w14:paraId="3013BBA6">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r>
        <w:rPr>
          <w:rFonts w:hint="eastAsia" w:ascii="微软雅黑" w:hAnsi="微软雅黑" w:eastAsia="微软雅黑"/>
          <w:b/>
          <w:color w:val="525252"/>
          <w:sz w:val="24"/>
          <w:szCs w:val="24"/>
          <w:lang w:val="en-US" w:eastAsia="zh-CN"/>
        </w:rPr>
        <w:t>五、历史文化保护规划</w:t>
      </w:r>
    </w:p>
    <w:p w14:paraId="35CF59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充分保护整体空间格局和历史遗存，打造凸显江南水乡风貌特色，传承优秀传统文化和红色文化的历史文化名镇。</w:t>
      </w:r>
    </w:p>
    <w:p w14:paraId="2A3E81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衔接《常熟市沙家浜历史文化名镇保护规划》的要求，明确核心保护范围及建设控制地带。其中核心保护范围为4.22公顷，主要分布在尤泾及石板街两侧；建设控制地带在核心保护范围的基础上向外扩展到金庄浜和鱼连泾两侧，总面积为3.18公顷。两者结合与历史文化街区保护范围相一致。</w:t>
      </w:r>
    </w:p>
    <w:p w14:paraId="34BE1AC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r>
        <w:rPr>
          <w:rFonts w:hint="eastAsia" w:ascii="微软雅黑" w:hAnsi="微软雅黑" w:eastAsia="微软雅黑"/>
          <w:b/>
          <w:color w:val="525252"/>
          <w:sz w:val="24"/>
          <w:szCs w:val="24"/>
          <w:lang w:val="en-US" w:eastAsia="zh-CN"/>
        </w:rPr>
        <w:t>六、道路交通规划</w:t>
      </w:r>
    </w:p>
    <w:p w14:paraId="418687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规划保留常台高速路、常昆公路。</w:t>
      </w:r>
    </w:p>
    <w:p w14:paraId="021FCCC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default"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规划形成“一横一纵”快速路网，横向为锡太公路，纵向为东环路。快速纾解过境交通及承担对外出行功能。</w:t>
      </w:r>
    </w:p>
    <w:p w14:paraId="74D3E1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规划形成“四横三纵”主干路网，横向分别为黄山路、香园路、中环路、南环路，纵向分别为西环路、庐山路及银河路，主要承担片区对外交通联系功能。完善次干路建设，加强产业组团与生活组团交通联系，支撑打造产城融合示范区。</w:t>
      </w:r>
    </w:p>
    <w:p w14:paraId="6A378C7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结合老镇开发，优化支路网建设，服务古镇旅游。</w:t>
      </w:r>
    </w:p>
    <w:p w14:paraId="33F5CEF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7AC4944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0D25AE3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08AE0E4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61C301F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10C100E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1F47518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46C058D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59B6126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5E273B5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3448FE8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6DA979F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6BE563F9">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3E72002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68AE46F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3FAC8B6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4873C68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p>
    <w:p w14:paraId="36FDC32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微软雅黑" w:hAnsi="微软雅黑" w:eastAsia="微软雅黑"/>
          <w:b/>
          <w:color w:val="525252"/>
          <w:sz w:val="24"/>
          <w:szCs w:val="24"/>
          <w:lang w:val="en-US" w:eastAsia="zh-CN"/>
        </w:rPr>
      </w:pPr>
      <w:r>
        <w:rPr>
          <w:rFonts w:hint="eastAsia" w:ascii="微软雅黑" w:hAnsi="微软雅黑" w:eastAsia="微软雅黑"/>
          <w:b/>
          <w:color w:val="525252"/>
          <w:sz w:val="24"/>
          <w:szCs w:val="24"/>
          <w:lang w:val="en-US" w:eastAsia="zh-CN"/>
        </w:rPr>
        <w:t>附图：</w:t>
      </w:r>
    </w:p>
    <w:p w14:paraId="2E2AE2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default"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1.区位图</w:t>
      </w:r>
    </w:p>
    <w:p w14:paraId="7C74E63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微软雅黑" w:hAnsi="微软雅黑" w:eastAsia="微软雅黑"/>
          <w:color w:val="525252"/>
          <w:szCs w:val="21"/>
          <w:lang w:val="en-US" w:eastAsia="zh-CN"/>
        </w:rPr>
      </w:pPr>
      <w:r>
        <w:rPr>
          <w:rFonts w:hint="eastAsia" w:ascii="微软雅黑" w:hAnsi="微软雅黑" w:eastAsia="微软雅黑"/>
          <w:color w:val="525252"/>
          <w:szCs w:val="21"/>
          <w:lang w:val="en-US" w:eastAsia="zh-CN"/>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38100</wp:posOffset>
            </wp:positionV>
            <wp:extent cx="5260975" cy="7448550"/>
            <wp:effectExtent l="0" t="0" r="15875" b="0"/>
            <wp:wrapTopAndBottom/>
            <wp:docPr id="4" name="图片 4" descr="3fb2404cd0b9fa211c2edc986b1b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fb2404cd0b9fa211c2edc986b1b741"/>
                    <pic:cNvPicPr>
                      <a:picLocks noChangeAspect="1"/>
                    </pic:cNvPicPr>
                  </pic:nvPicPr>
                  <pic:blipFill>
                    <a:blip r:embed="rId4"/>
                    <a:stretch>
                      <a:fillRect/>
                    </a:stretch>
                  </pic:blipFill>
                  <pic:spPr>
                    <a:xfrm>
                      <a:off x="0" y="0"/>
                      <a:ext cx="5260975" cy="7448550"/>
                    </a:xfrm>
                    <a:prstGeom prst="rect">
                      <a:avLst/>
                    </a:prstGeom>
                  </pic:spPr>
                </pic:pic>
              </a:graphicData>
            </a:graphic>
          </wp:anchor>
        </w:drawing>
      </w:r>
    </w:p>
    <w:p w14:paraId="75A88A5D">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微软雅黑" w:hAnsi="微软雅黑" w:eastAsia="微软雅黑"/>
          <w:color w:val="525252"/>
          <w:szCs w:val="21"/>
          <w:lang w:val="en-US" w:eastAsia="zh-CN"/>
        </w:rPr>
      </w:pPr>
      <w:r>
        <w:rPr>
          <w:rFonts w:hint="eastAsia" w:ascii="微软雅黑" w:hAnsi="微软雅黑" w:eastAsia="微软雅黑"/>
          <w:color w:val="525252"/>
          <w:szCs w:val="21"/>
          <w:lang w:val="en-US" w:eastAsia="zh-CN"/>
        </w:rPr>
        <w:drawing>
          <wp:anchor distT="0" distB="0" distL="114300" distR="114300" simplePos="0" relativeHeight="251660288" behindDoc="0" locked="0" layoutInCell="1" allowOverlap="1">
            <wp:simplePos x="0" y="0"/>
            <wp:positionH relativeFrom="column">
              <wp:posOffset>-22225</wp:posOffset>
            </wp:positionH>
            <wp:positionV relativeFrom="paragraph">
              <wp:posOffset>803910</wp:posOffset>
            </wp:positionV>
            <wp:extent cx="5260975" cy="7447915"/>
            <wp:effectExtent l="0" t="0" r="15875" b="635"/>
            <wp:wrapTopAndBottom/>
            <wp:docPr id="5" name="图片 5" descr="e8c899afa94bea2896511c41b559b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c899afa94bea2896511c41b559b5e"/>
                    <pic:cNvPicPr>
                      <a:picLocks noChangeAspect="1"/>
                    </pic:cNvPicPr>
                  </pic:nvPicPr>
                  <pic:blipFill>
                    <a:blip r:embed="rId5"/>
                    <a:stretch>
                      <a:fillRect/>
                    </a:stretch>
                  </pic:blipFill>
                  <pic:spPr>
                    <a:xfrm>
                      <a:off x="0" y="0"/>
                      <a:ext cx="5260975" cy="7447915"/>
                    </a:xfrm>
                    <a:prstGeom prst="rect">
                      <a:avLst/>
                    </a:prstGeom>
                  </pic:spPr>
                </pic:pic>
              </a:graphicData>
            </a:graphic>
          </wp:anchor>
        </w:drawing>
      </w:r>
    </w:p>
    <w:p w14:paraId="48BF10D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2.国土空间利用规划图</w:t>
      </w:r>
    </w:p>
    <w:p w14:paraId="21C8FF1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微软雅黑" w:hAnsi="微软雅黑" w:eastAsia="微软雅黑"/>
          <w:color w:val="525252"/>
          <w:szCs w:val="21"/>
          <w:lang w:val="en-US" w:eastAsia="zh-CN"/>
        </w:rPr>
      </w:pPr>
    </w:p>
    <w:p w14:paraId="75869C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3.空间结构规划图</w:t>
      </w:r>
    </w:p>
    <w:p w14:paraId="1A587071">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微软雅黑" w:hAnsi="微软雅黑" w:eastAsia="微软雅黑"/>
          <w:color w:val="525252"/>
          <w:szCs w:val="21"/>
          <w:lang w:eastAsia="zh-CN"/>
        </w:rPr>
      </w:pPr>
      <w:r>
        <w:rPr>
          <w:rFonts w:hint="eastAsia" w:ascii="微软雅黑" w:hAnsi="微软雅黑" w:eastAsia="微软雅黑"/>
          <w:color w:val="525252"/>
          <w:szCs w:val="21"/>
          <w:lang w:eastAsia="zh-CN"/>
        </w:rPr>
        <w:drawing>
          <wp:anchor distT="0" distB="0" distL="114300" distR="114300" simplePos="0" relativeHeight="251661312" behindDoc="0" locked="0" layoutInCell="1" allowOverlap="1">
            <wp:simplePos x="0" y="0"/>
            <wp:positionH relativeFrom="column">
              <wp:posOffset>131445</wp:posOffset>
            </wp:positionH>
            <wp:positionV relativeFrom="paragraph">
              <wp:posOffset>158750</wp:posOffset>
            </wp:positionV>
            <wp:extent cx="5260975" cy="7447915"/>
            <wp:effectExtent l="0" t="0" r="15875" b="635"/>
            <wp:wrapTopAndBottom/>
            <wp:docPr id="7" name="图片 7" descr="空间结构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空间结构规划图"/>
                    <pic:cNvPicPr>
                      <a:picLocks noChangeAspect="1"/>
                    </pic:cNvPicPr>
                  </pic:nvPicPr>
                  <pic:blipFill>
                    <a:blip r:embed="rId6"/>
                    <a:stretch>
                      <a:fillRect/>
                    </a:stretch>
                  </pic:blipFill>
                  <pic:spPr>
                    <a:xfrm>
                      <a:off x="0" y="0"/>
                      <a:ext cx="5260975" cy="7447915"/>
                    </a:xfrm>
                    <a:prstGeom prst="rect">
                      <a:avLst/>
                    </a:prstGeom>
                  </pic:spPr>
                </pic:pic>
              </a:graphicData>
            </a:graphic>
          </wp:anchor>
        </w:drawing>
      </w:r>
    </w:p>
    <w:p w14:paraId="24C389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p>
    <w:p w14:paraId="075EE3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Cs w:val="21"/>
          <w:lang w:eastAsia="zh-CN"/>
        </w:rPr>
        <w:drawing>
          <wp:anchor distT="0" distB="0" distL="114300" distR="114300" simplePos="0" relativeHeight="251662336" behindDoc="0" locked="0" layoutInCell="1" allowOverlap="1">
            <wp:simplePos x="0" y="0"/>
            <wp:positionH relativeFrom="column">
              <wp:posOffset>-110490</wp:posOffset>
            </wp:positionH>
            <wp:positionV relativeFrom="paragraph">
              <wp:posOffset>535940</wp:posOffset>
            </wp:positionV>
            <wp:extent cx="5260975" cy="7447915"/>
            <wp:effectExtent l="0" t="0" r="15875" b="635"/>
            <wp:wrapTopAndBottom/>
            <wp:docPr id="1" name="图片 1" descr="f9453603232a0db563ab683ef690f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9453603232a0db563ab683ef690f1e"/>
                    <pic:cNvPicPr>
                      <a:picLocks noChangeAspect="1"/>
                    </pic:cNvPicPr>
                  </pic:nvPicPr>
                  <pic:blipFill>
                    <a:blip r:embed="rId7"/>
                    <a:stretch>
                      <a:fillRect/>
                    </a:stretch>
                  </pic:blipFill>
                  <pic:spPr>
                    <a:xfrm>
                      <a:off x="0" y="0"/>
                      <a:ext cx="5260975" cy="7447915"/>
                    </a:xfrm>
                    <a:prstGeom prst="rect">
                      <a:avLst/>
                    </a:prstGeom>
                  </pic:spPr>
                </pic:pic>
              </a:graphicData>
            </a:graphic>
          </wp:anchor>
        </w:drawing>
      </w:r>
      <w:r>
        <w:rPr>
          <w:rFonts w:hint="eastAsia" w:ascii="微软雅黑" w:hAnsi="微软雅黑" w:eastAsia="微软雅黑"/>
          <w:color w:val="525252"/>
          <w:sz w:val="24"/>
          <w:szCs w:val="24"/>
          <w:lang w:val="en-US" w:eastAsia="zh-CN"/>
        </w:rPr>
        <w:t>4.居住社区规划图</w:t>
      </w:r>
    </w:p>
    <w:p w14:paraId="6C66F00C">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微软雅黑" w:hAnsi="微软雅黑" w:eastAsia="微软雅黑"/>
          <w:color w:val="525252"/>
          <w:szCs w:val="21"/>
          <w:lang w:eastAsia="zh-CN"/>
        </w:rPr>
      </w:pPr>
    </w:p>
    <w:p w14:paraId="27067E18">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微软雅黑" w:hAnsi="微软雅黑" w:eastAsia="微软雅黑"/>
          <w:color w:val="525252"/>
          <w:szCs w:val="21"/>
          <w:lang w:eastAsia="zh-CN"/>
        </w:rPr>
      </w:pPr>
    </w:p>
    <w:p w14:paraId="79B6B1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微软雅黑" w:hAnsi="微软雅黑" w:eastAsia="微软雅黑"/>
          <w:color w:val="525252"/>
          <w:sz w:val="24"/>
          <w:szCs w:val="24"/>
          <w:lang w:val="en-US" w:eastAsia="zh-CN"/>
        </w:rPr>
      </w:pPr>
      <w:r>
        <w:rPr>
          <w:rFonts w:hint="eastAsia" w:ascii="微软雅黑" w:hAnsi="微软雅黑" w:eastAsia="微软雅黑"/>
          <w:color w:val="525252"/>
          <w:sz w:val="24"/>
          <w:szCs w:val="24"/>
          <w:lang w:val="en-US" w:eastAsia="zh-CN"/>
        </w:rPr>
        <w:t>5.道路交通规划图</w:t>
      </w:r>
    </w:p>
    <w:p w14:paraId="0E640285">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微软雅黑" w:hAnsi="微软雅黑" w:eastAsia="微软雅黑"/>
          <w:color w:val="525252"/>
          <w:szCs w:val="21"/>
          <w:lang w:eastAsia="zh-CN"/>
        </w:rPr>
      </w:pPr>
      <w:r>
        <w:rPr>
          <w:rFonts w:hint="eastAsia" w:ascii="微软雅黑" w:hAnsi="微软雅黑" w:eastAsia="微软雅黑"/>
          <w:color w:val="525252"/>
          <w:szCs w:val="21"/>
          <w:lang w:eastAsia="zh-CN"/>
        </w:rPr>
        <w:drawing>
          <wp:anchor distT="0" distB="0" distL="114300" distR="114300" simplePos="0" relativeHeight="251663360" behindDoc="0" locked="0" layoutInCell="1" allowOverlap="1">
            <wp:simplePos x="0" y="0"/>
            <wp:positionH relativeFrom="column">
              <wp:posOffset>-7620</wp:posOffset>
            </wp:positionH>
            <wp:positionV relativeFrom="paragraph">
              <wp:posOffset>318770</wp:posOffset>
            </wp:positionV>
            <wp:extent cx="5260975" cy="7447915"/>
            <wp:effectExtent l="0" t="0" r="15875" b="635"/>
            <wp:wrapTopAndBottom/>
            <wp:docPr id="6" name="图片 6" descr="087c671cebe972f9cbdea7ed9045f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87c671cebe972f9cbdea7ed9045f9f"/>
                    <pic:cNvPicPr>
                      <a:picLocks noChangeAspect="1"/>
                    </pic:cNvPicPr>
                  </pic:nvPicPr>
                  <pic:blipFill>
                    <a:blip r:embed="rId8"/>
                    <a:stretch>
                      <a:fillRect/>
                    </a:stretch>
                  </pic:blipFill>
                  <pic:spPr>
                    <a:xfrm>
                      <a:off x="0" y="0"/>
                      <a:ext cx="5260975" cy="7447915"/>
                    </a:xfrm>
                    <a:prstGeom prst="rect">
                      <a:avLst/>
                    </a:prstGeom>
                  </pic:spPr>
                </pic:pic>
              </a:graphicData>
            </a:graphic>
          </wp:anchor>
        </w:drawing>
      </w:r>
    </w:p>
    <w:p w14:paraId="6C59CC51">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center"/>
        <w:textAlignment w:val="auto"/>
        <w:rPr>
          <w:rFonts w:ascii="微软雅黑" w:hAnsi="微软雅黑" w:eastAsia="微软雅黑"/>
          <w:color w:val="525252"/>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A2F538"/>
    <w:multiLevelType w:val="singleLevel"/>
    <w:tmpl w:val="E3A2F53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hZTU0NjIwNWE3ODFhOGM2NGQyODc1NmRlMjM2MjQifQ=="/>
  </w:docVars>
  <w:rsids>
    <w:rsidRoot w:val="00426D07"/>
    <w:rsid w:val="000F69F9"/>
    <w:rsid w:val="00293CCA"/>
    <w:rsid w:val="002A4358"/>
    <w:rsid w:val="002B1BF9"/>
    <w:rsid w:val="00326E32"/>
    <w:rsid w:val="003B335C"/>
    <w:rsid w:val="003D2ABE"/>
    <w:rsid w:val="00426D07"/>
    <w:rsid w:val="007051F8"/>
    <w:rsid w:val="007533D6"/>
    <w:rsid w:val="007934DB"/>
    <w:rsid w:val="00996F27"/>
    <w:rsid w:val="009D248F"/>
    <w:rsid w:val="00E51B34"/>
    <w:rsid w:val="00E97A0C"/>
    <w:rsid w:val="00FE6B3A"/>
    <w:rsid w:val="04545D1C"/>
    <w:rsid w:val="0BD15C55"/>
    <w:rsid w:val="0E6059EA"/>
    <w:rsid w:val="1AEC6857"/>
    <w:rsid w:val="26C03072"/>
    <w:rsid w:val="281F4E60"/>
    <w:rsid w:val="29D50C39"/>
    <w:rsid w:val="2DC31699"/>
    <w:rsid w:val="2FFD0E93"/>
    <w:rsid w:val="31D71662"/>
    <w:rsid w:val="33DA14EB"/>
    <w:rsid w:val="39513FFD"/>
    <w:rsid w:val="3C2123AD"/>
    <w:rsid w:val="3D3103CE"/>
    <w:rsid w:val="3D6F0EF6"/>
    <w:rsid w:val="414D154E"/>
    <w:rsid w:val="41A05B22"/>
    <w:rsid w:val="41DE4AA5"/>
    <w:rsid w:val="437454B8"/>
    <w:rsid w:val="47086643"/>
    <w:rsid w:val="49CD76D0"/>
    <w:rsid w:val="4A1946C3"/>
    <w:rsid w:val="4BCF385D"/>
    <w:rsid w:val="4CDE39A2"/>
    <w:rsid w:val="52CB6777"/>
    <w:rsid w:val="57430FD1"/>
    <w:rsid w:val="58D2260D"/>
    <w:rsid w:val="5B7A18A3"/>
    <w:rsid w:val="60861F9F"/>
    <w:rsid w:val="63247F31"/>
    <w:rsid w:val="67C24194"/>
    <w:rsid w:val="69935309"/>
    <w:rsid w:val="6E4E22DE"/>
    <w:rsid w:val="71E847F7"/>
    <w:rsid w:val="728C1627"/>
    <w:rsid w:val="75EE05B1"/>
    <w:rsid w:val="7ABB0C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7">
    <w:name w:val="页眉 字符"/>
    <w:basedOn w:val="6"/>
    <w:link w:val="3"/>
    <w:qFormat/>
    <w:uiPriority w:val="99"/>
    <w:rPr>
      <w:sz w:val="18"/>
      <w:szCs w:val="18"/>
    </w:rPr>
  </w:style>
  <w:style w:type="character" w:customStyle="1" w:styleId="8">
    <w:name w:val="页脚 字符"/>
    <w:basedOn w:val="6"/>
    <w:link w:val="2"/>
    <w:uiPriority w:val="99"/>
    <w:rPr>
      <w:sz w:val="18"/>
      <w:szCs w:val="18"/>
    </w:rPr>
  </w:style>
  <w:style w:type="paragraph" w:styleId="9">
    <w:name w:val="List Paragraph"/>
    <w:basedOn w:val="1"/>
    <w:qFormat/>
    <w:uiPriority w:val="34"/>
    <w:pPr>
      <w:ind w:firstLine="420" w:firstLineChars="200"/>
    </w:pPr>
  </w:style>
  <w:style w:type="paragraph" w:customStyle="1" w:styleId="10">
    <w:name w:val="*正文"/>
    <w:basedOn w:val="1"/>
    <w:link w:val="11"/>
    <w:qFormat/>
    <w:uiPriority w:val="0"/>
    <w:pPr>
      <w:spacing w:line="360" w:lineRule="auto"/>
      <w:ind w:firstLine="200" w:firstLineChars="200"/>
    </w:pPr>
    <w:rPr>
      <w:rFonts w:ascii="Times New Roman" w:hAnsi="Times New Roman" w:eastAsia="宋体" w:cs="宋体"/>
      <w:kern w:val="0"/>
      <w:sz w:val="24"/>
      <w:szCs w:val="28"/>
    </w:rPr>
  </w:style>
  <w:style w:type="character" w:customStyle="1" w:styleId="11">
    <w:name w:val="*正文 Char"/>
    <w:link w:val="10"/>
    <w:qFormat/>
    <w:uiPriority w:val="0"/>
    <w:rPr>
      <w:rFonts w:ascii="Times New Roman" w:hAnsi="Times New Roman" w:eastAsia="宋体" w:cs="宋体"/>
      <w:kern w:val="0"/>
      <w:sz w:val="24"/>
      <w:szCs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1407</Words>
  <Characters>1480</Characters>
  <Lines>7</Lines>
  <Paragraphs>2</Paragraphs>
  <TotalTime>161</TotalTime>
  <ScaleCrop>false</ScaleCrop>
  <LinksUpToDate>false</LinksUpToDate>
  <CharactersWithSpaces>1483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2023-11-21T07:27:00Z</dcterms:created>
  <dc:creator>id1607</dc:creator>
  <cp:lastModifiedBy>小蝙蝠</cp:lastModifiedBy>
  <dcterms:modified xsi:type="dcterms:W3CDTF">2024-12-11T01:33:29Z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A9774A25F6A94A3BB52147A6BA1DF125_13</vt:lpwstr>
  </property>
</Properties>
</file>