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b/>
          <w:sz w:val="30"/>
          <w:szCs w:val="30"/>
        </w:rPr>
      </w:pPr>
      <w:r>
        <w:rPr>
          <w:rFonts w:hint="eastAsia" w:ascii="黑体" w:hAnsi="黑体" w:eastAsia="黑体" w:cs="黑体"/>
          <w:b/>
          <w:sz w:val="30"/>
          <w:szCs w:val="30"/>
        </w:rPr>
        <w:t>《中新昆承湖园区湖西片区（云裳活力岛）详细规划》</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b/>
          <w:sz w:val="30"/>
          <w:szCs w:val="30"/>
        </w:rPr>
      </w:pPr>
      <w:r>
        <w:rPr>
          <w:rFonts w:hint="eastAsia" w:ascii="黑体" w:hAnsi="黑体" w:eastAsia="黑体" w:cs="黑体"/>
          <w:b/>
          <w:sz w:val="30"/>
          <w:szCs w:val="30"/>
        </w:rPr>
        <w:t>批前公示</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ascii="宋体" w:hAnsi="宋体" w:eastAsia="宋体"/>
          <w:sz w:val="28"/>
          <w:szCs w:val="28"/>
          <w:u w:val="single"/>
        </w:rPr>
      </w:pP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宋体" w:hAnsi="宋体" w:eastAsia="宋体"/>
          <w:sz w:val="28"/>
          <w:szCs w:val="28"/>
        </w:rPr>
      </w:pPr>
      <w:r>
        <w:rPr>
          <w:rFonts w:hint="eastAsia" w:ascii="宋体" w:hAnsi="宋体" w:eastAsia="宋体"/>
          <w:sz w:val="28"/>
          <w:szCs w:val="28"/>
        </w:rPr>
        <w:t>为贯彻上位规划战略意图，落实总体规划对详细规划的传导要求，协调相关部门要求，同时适应中新昆承湖园区湖西片区（云裳活力岛）的发展需求，合理指导发展环境变化下的建设规划管理，提升用地价值和集约节约利用土地，常熟高新技术产业开发区管理委员会及中新苏州工业园区开发集团股份有限公司共同委托启迪设计集团股份有限公司编制了《中新昆承湖园区湖西片区（云裳活力岛）详细规划》。目前，该规划已完成阶段性成果，为进一步增强规划编制的科学性和合理性，现根据《中华人民共和国城乡规划法》，将该规划进行批前公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宋体" w:hAnsi="宋体" w:eastAsia="宋体"/>
          <w:sz w:val="28"/>
          <w:szCs w:val="28"/>
        </w:rPr>
      </w:pPr>
      <w:r>
        <w:rPr>
          <w:rFonts w:hint="eastAsia" w:ascii="宋体" w:hAnsi="宋体" w:eastAsia="宋体"/>
          <w:sz w:val="28"/>
          <w:szCs w:val="28"/>
        </w:rPr>
        <w:t>本次规划公示期为30天，自2024年5月22日，至2024年6月21日止。本公示旨在征询公众意见，并非最终审批结果，如有意见和建议，请于公示时间内向常熟高新技术产业开发区管理委员会反馈，联系电话：0512-52018591</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ascii="宋体" w:hAnsi="宋体" w:eastAsia="宋体"/>
          <w:b/>
          <w:sz w:val="28"/>
          <w:szCs w:val="28"/>
        </w:rPr>
      </w:pPr>
      <w:r>
        <w:rPr>
          <w:rFonts w:hint="eastAsia" w:ascii="宋体" w:hAnsi="宋体" w:eastAsia="宋体"/>
          <w:b/>
          <w:sz w:val="28"/>
          <w:szCs w:val="28"/>
        </w:rPr>
        <w:t>一、</w:t>
      </w:r>
      <w:r>
        <w:rPr>
          <w:rFonts w:hint="eastAsia" w:ascii="宋体" w:hAnsi="宋体" w:eastAsia="宋体"/>
          <w:b/>
          <w:sz w:val="28"/>
          <w:szCs w:val="28"/>
          <w:lang w:val="en-US" w:eastAsia="zh-CN"/>
        </w:rPr>
        <w:t>规划</w:t>
      </w:r>
      <w:r>
        <w:rPr>
          <w:rFonts w:hint="eastAsia" w:ascii="宋体" w:hAnsi="宋体" w:eastAsia="宋体"/>
          <w:b/>
          <w:sz w:val="28"/>
          <w:szCs w:val="28"/>
        </w:rPr>
        <w:t>范围</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宋体" w:hAnsi="宋体" w:eastAsia="宋体"/>
          <w:sz w:val="28"/>
          <w:szCs w:val="28"/>
        </w:rPr>
      </w:pPr>
      <w:r>
        <w:rPr>
          <w:rFonts w:hint="eastAsia" w:ascii="宋体" w:hAnsi="宋体" w:eastAsia="宋体"/>
          <w:sz w:val="28"/>
          <w:szCs w:val="28"/>
        </w:rPr>
        <w:t>本次规划范围为西至苏常快速路，东至昆承湖，北至东南大道，南至陈泾路及</w:t>
      </w:r>
      <w:r>
        <w:rPr>
          <w:rFonts w:ascii="宋体" w:hAnsi="宋体" w:eastAsia="宋体"/>
          <w:sz w:val="28"/>
          <w:szCs w:val="28"/>
        </w:rPr>
        <w:t>大陈泾，规划面积为2.93平方公里。</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ascii="宋体" w:hAnsi="宋体" w:eastAsia="宋体"/>
          <w:sz w:val="28"/>
          <w:szCs w:val="28"/>
        </w:rPr>
      </w:pPr>
      <w:r>
        <w:rPr>
          <w:rFonts w:hint="eastAsia" w:ascii="宋体" w:hAnsi="宋体" w:eastAsia="宋体"/>
          <w:b/>
          <w:sz w:val="28"/>
          <w:szCs w:val="28"/>
          <w:lang w:val="en-US" w:eastAsia="zh-CN"/>
        </w:rPr>
        <w:t>二</w:t>
      </w:r>
      <w:r>
        <w:rPr>
          <w:rFonts w:hint="eastAsia" w:ascii="宋体" w:hAnsi="宋体" w:eastAsia="宋体"/>
          <w:b/>
          <w:sz w:val="28"/>
          <w:szCs w:val="28"/>
        </w:rPr>
        <w:t>、规划定位</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宋体" w:hAnsi="宋体" w:eastAsia="宋体"/>
          <w:sz w:val="28"/>
          <w:szCs w:val="28"/>
        </w:rPr>
      </w:pPr>
      <w:r>
        <w:rPr>
          <w:rFonts w:hint="eastAsia" w:ascii="宋体" w:hAnsi="宋体" w:eastAsia="宋体"/>
          <w:sz w:val="28"/>
          <w:szCs w:val="28"/>
        </w:rPr>
        <w:t>规划定位：湖畔人文，共生之城</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hint="eastAsia" w:ascii="宋体" w:hAnsi="宋体" w:eastAsia="宋体"/>
          <w:sz w:val="28"/>
          <w:szCs w:val="28"/>
        </w:rPr>
      </w:pPr>
      <w:r>
        <w:rPr>
          <w:rFonts w:hint="eastAsia" w:ascii="宋体" w:hAnsi="宋体" w:eastAsia="宋体"/>
          <w:sz w:val="28"/>
          <w:szCs w:val="28"/>
        </w:rPr>
        <w:t>规划目标：构建湖城相融、蓝绿交织的生态格局，打造产城融合、配套完善的品质空间，塑造高低错落的滨湖风貌，营造全时活力、全民共享的湖畔宜业宜居社区。</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宋体" w:hAnsi="宋体" w:eastAsia="宋体"/>
          <w:sz w:val="28"/>
          <w:szCs w:val="28"/>
        </w:rPr>
      </w:pPr>
      <w:r>
        <w:rPr>
          <w:rFonts w:hint="eastAsia" w:ascii="宋体" w:hAnsi="宋体" w:eastAsia="宋体"/>
          <w:b/>
          <w:sz w:val="28"/>
          <w:szCs w:val="28"/>
          <w:lang w:val="en-US" w:eastAsia="zh-CN"/>
        </w:rPr>
        <w:t>三</w:t>
      </w:r>
      <w:r>
        <w:rPr>
          <w:rFonts w:hint="eastAsia" w:ascii="宋体" w:hAnsi="宋体" w:eastAsia="宋体"/>
          <w:b/>
          <w:sz w:val="28"/>
          <w:szCs w:val="28"/>
        </w:rPr>
        <w:t>、规划结构</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宋体" w:hAnsi="宋体" w:eastAsia="宋体"/>
          <w:sz w:val="28"/>
          <w:szCs w:val="28"/>
        </w:rPr>
      </w:pPr>
      <w:r>
        <w:rPr>
          <w:rFonts w:hint="eastAsia" w:ascii="宋体" w:hAnsi="宋体" w:eastAsia="宋体"/>
          <w:sz w:val="28"/>
          <w:szCs w:val="28"/>
        </w:rPr>
        <w:t>形成“一带两轴三廊，两核多点三片”的规划结构。</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宋体" w:hAnsi="宋体" w:eastAsia="宋体"/>
          <w:sz w:val="28"/>
          <w:szCs w:val="28"/>
        </w:rPr>
      </w:pPr>
      <w:r>
        <w:rPr>
          <w:rFonts w:hint="eastAsia" w:ascii="宋体" w:hAnsi="宋体" w:eastAsia="宋体"/>
          <w:sz w:val="28"/>
          <w:szCs w:val="28"/>
        </w:rPr>
        <w:t xml:space="preserve"> “一带”：为滨湖活力带，打造人文共生、景观共享的滨湖活力风光带</w:t>
      </w:r>
      <w:r>
        <w:rPr>
          <w:rFonts w:ascii="宋体" w:hAnsi="宋体" w:eastAsia="宋体"/>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宋体" w:hAnsi="宋体" w:eastAsia="宋体"/>
          <w:sz w:val="28"/>
          <w:szCs w:val="28"/>
        </w:rPr>
      </w:pPr>
      <w:r>
        <w:rPr>
          <w:rFonts w:hint="eastAsia" w:ascii="宋体" w:hAnsi="宋体" w:eastAsia="宋体"/>
          <w:sz w:val="28"/>
          <w:szCs w:val="28"/>
        </w:rPr>
        <w:t>“两轴”：包括</w:t>
      </w:r>
      <w:r>
        <w:rPr>
          <w:rFonts w:ascii="宋体" w:hAnsi="宋体" w:eastAsia="宋体"/>
          <w:sz w:val="28"/>
          <w:szCs w:val="28"/>
        </w:rPr>
        <w:t>G524南向发展轴、公共服务轴。</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宋体" w:hAnsi="宋体" w:eastAsia="宋体"/>
          <w:sz w:val="28"/>
          <w:szCs w:val="28"/>
        </w:rPr>
      </w:pPr>
      <w:r>
        <w:rPr>
          <w:rFonts w:hint="eastAsia" w:ascii="宋体" w:hAnsi="宋体" w:eastAsia="宋体"/>
          <w:sz w:val="28"/>
          <w:szCs w:val="28"/>
        </w:rPr>
        <w:t>“三廊”：为三条串联昆承湖的横向生态廊道，包括后港生态廊道、莫城河生态廊道、大陈泾生态廊道。</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宋体" w:hAnsi="宋体" w:eastAsia="宋体"/>
          <w:sz w:val="28"/>
          <w:szCs w:val="28"/>
        </w:rPr>
      </w:pPr>
      <w:r>
        <w:rPr>
          <w:rFonts w:hint="eastAsia" w:ascii="宋体" w:hAnsi="宋体" w:eastAsia="宋体"/>
          <w:sz w:val="28"/>
          <w:szCs w:val="28"/>
        </w:rPr>
        <w:t>“两核”：包括产城门户核及综合服务核。</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宋体" w:hAnsi="宋体" w:eastAsia="宋体"/>
          <w:sz w:val="28"/>
          <w:szCs w:val="28"/>
        </w:rPr>
      </w:pPr>
      <w:r>
        <w:rPr>
          <w:rFonts w:hint="eastAsia" w:ascii="宋体" w:hAnsi="宋体" w:eastAsia="宋体"/>
          <w:sz w:val="28"/>
          <w:szCs w:val="28"/>
        </w:rPr>
        <w:t xml:space="preserve"> “多点”：包括邻里中心、商业商务、滨湖休闲商业、社区运动中心、滨湖驿站和邻里商业。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宋体" w:hAnsi="宋体" w:eastAsia="宋体"/>
          <w:sz w:val="28"/>
          <w:szCs w:val="28"/>
          <w:highlight w:val="yellow"/>
        </w:rPr>
      </w:pPr>
      <w:r>
        <w:rPr>
          <w:rFonts w:hint="eastAsia" w:ascii="宋体" w:hAnsi="宋体" w:eastAsia="宋体"/>
          <w:sz w:val="28"/>
          <w:szCs w:val="28"/>
        </w:rPr>
        <w:t>“三片”：包括综合服务片区、滨湖居住片区、产城门户片区。</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ascii="宋体" w:hAnsi="宋体" w:eastAsia="宋体"/>
          <w:b/>
          <w:sz w:val="28"/>
          <w:szCs w:val="28"/>
        </w:rPr>
      </w:pPr>
      <w:r>
        <w:rPr>
          <w:rFonts w:hint="eastAsia" w:ascii="宋体" w:hAnsi="宋体" w:eastAsia="宋体"/>
          <w:b/>
          <w:sz w:val="28"/>
          <w:szCs w:val="28"/>
          <w:lang w:val="en-US" w:eastAsia="zh-CN"/>
        </w:rPr>
        <w:t>四</w:t>
      </w:r>
      <w:r>
        <w:rPr>
          <w:rFonts w:hint="eastAsia" w:ascii="宋体" w:hAnsi="宋体" w:eastAsia="宋体"/>
          <w:b/>
          <w:sz w:val="28"/>
          <w:szCs w:val="28"/>
        </w:rPr>
        <w:t>、国土空间利用规划</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ascii="宋体" w:hAnsi="宋体" w:eastAsia="宋体"/>
          <w:sz w:val="28"/>
          <w:szCs w:val="28"/>
        </w:rPr>
      </w:pPr>
      <w:r>
        <w:rPr>
          <w:rFonts w:hint="eastAsia" w:ascii="宋体" w:hAnsi="宋体" w:eastAsia="宋体"/>
          <w:sz w:val="28"/>
          <w:szCs w:val="28"/>
        </w:rPr>
        <w:t>本规划建设用地包括居住用地、公共管理与公共服务用地、商业服务业用地、工矿用地、交通运输用地、公用设施用地、绿地与开敞空间用地、留白用地等</w:t>
      </w:r>
      <w:r>
        <w:rPr>
          <w:rFonts w:ascii="宋体" w:hAnsi="宋体" w:eastAsia="宋体"/>
          <w:sz w:val="28"/>
          <w:szCs w:val="28"/>
        </w:rPr>
        <w:t>8大类用地，根据详细规划编制的要求，用地宜细分至二级类和三级类。</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ascii="宋体" w:hAnsi="宋体" w:eastAsia="宋体"/>
          <w:b/>
          <w:sz w:val="28"/>
          <w:szCs w:val="28"/>
        </w:rPr>
      </w:pPr>
      <w:r>
        <w:rPr>
          <w:rFonts w:hint="eastAsia" w:ascii="宋体" w:hAnsi="宋体" w:eastAsia="宋体"/>
          <w:b/>
          <w:sz w:val="28"/>
          <w:szCs w:val="28"/>
          <w:lang w:val="en-US" w:eastAsia="zh-CN"/>
        </w:rPr>
        <w:t>五</w:t>
      </w:r>
      <w:r>
        <w:rPr>
          <w:rFonts w:hint="eastAsia" w:ascii="宋体" w:hAnsi="宋体" w:eastAsia="宋体"/>
          <w:b/>
          <w:sz w:val="28"/>
          <w:szCs w:val="28"/>
        </w:rPr>
        <w:t>、生活圈组织规划</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eastAsia="宋体"/>
          <w:sz w:val="28"/>
          <w:szCs w:val="28"/>
        </w:rPr>
      </w:pPr>
      <w:r>
        <w:rPr>
          <w:rFonts w:hint="eastAsia" w:ascii="宋体" w:hAnsi="宋体" w:eastAsia="宋体"/>
          <w:sz w:val="28"/>
          <w:szCs w:val="28"/>
        </w:rPr>
        <w:t>规划</w:t>
      </w:r>
      <w:r>
        <w:rPr>
          <w:rFonts w:ascii="宋体" w:hAnsi="宋体" w:eastAsia="宋体"/>
          <w:sz w:val="28"/>
          <w:szCs w:val="28"/>
        </w:rPr>
        <w:t>15分钟宜居生活圈1个，服务范围约3公里，服务中心位于莫城南街与昆承湖西路交叉口西北侧。参照15分钟宜居生活圈公共服务设施配置标准进行设置，在满足底线性要求的同时，重视品质化、特色化设施供给。</w:t>
      </w:r>
      <w:r>
        <w:rPr>
          <w:rFonts w:hint="eastAsia" w:ascii="宋体" w:hAnsi="宋体" w:eastAsia="宋体"/>
          <w:sz w:val="28"/>
          <w:szCs w:val="28"/>
        </w:rPr>
        <w:t>规划</w:t>
      </w:r>
      <w:r>
        <w:rPr>
          <w:rFonts w:ascii="宋体" w:hAnsi="宋体" w:eastAsia="宋体"/>
          <w:sz w:val="28"/>
          <w:szCs w:val="28"/>
        </w:rPr>
        <w:t>5-10分钟便民生活圈2个，服务半径约300-500米，高标准配置社区公共服务设施，在满足配置标准的情况下，可结合居民需求增设品质提升型设施。</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hint="eastAsia" w:ascii="宋体" w:hAnsi="宋体" w:eastAsia="宋体"/>
          <w:b/>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ascii="宋体" w:hAnsi="宋体" w:eastAsia="宋体"/>
          <w:b/>
          <w:sz w:val="28"/>
          <w:szCs w:val="28"/>
        </w:rPr>
      </w:pPr>
      <w:r>
        <w:rPr>
          <w:rFonts w:hint="eastAsia" w:ascii="宋体" w:hAnsi="宋体" w:eastAsia="宋体"/>
          <w:b/>
          <w:sz w:val="28"/>
          <w:szCs w:val="28"/>
          <w:lang w:val="en-US" w:eastAsia="zh-CN"/>
        </w:rPr>
        <w:t>六</w:t>
      </w:r>
      <w:r>
        <w:rPr>
          <w:rFonts w:hint="eastAsia" w:ascii="宋体" w:hAnsi="宋体" w:eastAsia="宋体"/>
          <w:b/>
          <w:sz w:val="28"/>
          <w:szCs w:val="28"/>
        </w:rPr>
        <w:t>、公共服务设施规划</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ascii="宋体" w:hAnsi="宋体" w:eastAsia="宋体"/>
          <w:sz w:val="28"/>
          <w:szCs w:val="28"/>
        </w:rPr>
      </w:pPr>
      <w:r>
        <w:rPr>
          <w:rFonts w:hint="eastAsia" w:ascii="宋体" w:hAnsi="宋体" w:eastAsia="宋体"/>
          <w:sz w:val="28"/>
          <w:szCs w:val="28"/>
        </w:rPr>
        <w:t>规划一处片区邻里中心</w:t>
      </w:r>
      <w:r>
        <w:rPr>
          <w:rFonts w:ascii="宋体" w:hAnsi="宋体" w:eastAsia="宋体"/>
          <w:sz w:val="28"/>
          <w:szCs w:val="28"/>
        </w:rPr>
        <w:t>/15分钟社区生活圈综合服务中心</w:t>
      </w:r>
      <w:r>
        <w:rPr>
          <w:rFonts w:hint="eastAsia" w:ascii="宋体" w:hAnsi="宋体" w:eastAsia="宋体"/>
          <w:sz w:val="28"/>
          <w:szCs w:val="28"/>
        </w:rPr>
        <w:t>，</w:t>
      </w:r>
      <w:r>
        <w:rPr>
          <w:rFonts w:ascii="宋体" w:hAnsi="宋体" w:eastAsia="宋体"/>
          <w:sz w:val="28"/>
          <w:szCs w:val="28"/>
        </w:rPr>
        <w:t>包括邻里中心、社区服务中心、文化活动中心、卫生服务中心等功能，结合周边绿地布置大型多功能运动场地。</w:t>
      </w:r>
      <w:r>
        <w:rPr>
          <w:rFonts w:hint="eastAsia" w:ascii="宋体" w:hAnsi="宋体" w:eastAsia="宋体"/>
          <w:sz w:val="28"/>
          <w:szCs w:val="28"/>
        </w:rPr>
        <w:t>规划</w:t>
      </w:r>
      <w:r>
        <w:rPr>
          <w:rFonts w:ascii="宋体" w:hAnsi="宋体" w:eastAsia="宋体"/>
          <w:sz w:val="28"/>
          <w:szCs w:val="28"/>
        </w:rPr>
        <w:t>2处城镇社区服务设施，包括社区服务站、社区卫生服务站、文化活动站、小型超市、托儿所以及老年人日间照料中心等功能，结合周边绿地布置小型多功能运动场地。</w:t>
      </w:r>
      <w:r>
        <w:rPr>
          <w:rFonts w:hint="eastAsia" w:ascii="宋体" w:hAnsi="宋体" w:eastAsia="宋体"/>
          <w:sz w:val="28"/>
          <w:szCs w:val="28"/>
        </w:rPr>
        <w:t>规划新增九年一贯制学校</w:t>
      </w:r>
      <w:r>
        <w:rPr>
          <w:rFonts w:ascii="宋体" w:hAnsi="宋体" w:eastAsia="宋体"/>
          <w:sz w:val="28"/>
          <w:szCs w:val="28"/>
        </w:rPr>
        <w:t>1所，包括42班小学和21班初中</w:t>
      </w:r>
      <w:r>
        <w:rPr>
          <w:rFonts w:hint="eastAsia" w:ascii="宋体" w:hAnsi="宋体" w:eastAsia="宋体"/>
          <w:sz w:val="28"/>
          <w:szCs w:val="28"/>
        </w:rPr>
        <w:t>。规划新增幼儿园</w:t>
      </w:r>
      <w:r>
        <w:rPr>
          <w:rFonts w:ascii="宋体" w:hAnsi="宋体" w:eastAsia="宋体"/>
          <w:sz w:val="28"/>
          <w:szCs w:val="28"/>
        </w:rPr>
        <w:t>2所，班级数</w:t>
      </w:r>
      <w:r>
        <w:rPr>
          <w:rFonts w:hint="eastAsia" w:ascii="宋体" w:hAnsi="宋体" w:eastAsia="宋体"/>
          <w:sz w:val="28"/>
          <w:szCs w:val="28"/>
        </w:rPr>
        <w:t>分别</w:t>
      </w:r>
      <w:r>
        <w:rPr>
          <w:rFonts w:ascii="宋体" w:hAnsi="宋体" w:eastAsia="宋体"/>
          <w:sz w:val="28"/>
          <w:szCs w:val="28"/>
        </w:rPr>
        <w:t>为15班</w:t>
      </w:r>
      <w:r>
        <w:rPr>
          <w:rFonts w:hint="eastAsia" w:ascii="宋体" w:hAnsi="宋体" w:eastAsia="宋体"/>
          <w:sz w:val="28"/>
          <w:szCs w:val="28"/>
        </w:rPr>
        <w:t>、</w:t>
      </w:r>
      <w:r>
        <w:rPr>
          <w:rFonts w:ascii="宋体" w:hAnsi="宋体" w:eastAsia="宋体"/>
          <w:sz w:val="28"/>
          <w:szCs w:val="28"/>
        </w:rPr>
        <w:t>18班</w:t>
      </w:r>
      <w:r>
        <w:rPr>
          <w:rFonts w:hint="eastAsia" w:ascii="宋体" w:hAnsi="宋体" w:eastAsia="宋体"/>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ascii="宋体" w:hAnsi="宋体" w:eastAsia="宋体"/>
          <w:b/>
          <w:sz w:val="28"/>
          <w:szCs w:val="28"/>
        </w:rPr>
      </w:pPr>
      <w:r>
        <w:rPr>
          <w:rFonts w:hint="eastAsia" w:ascii="宋体" w:hAnsi="宋体" w:eastAsia="宋体"/>
          <w:b/>
          <w:sz w:val="28"/>
          <w:szCs w:val="28"/>
          <w:lang w:val="en-US" w:eastAsia="zh-CN"/>
        </w:rPr>
        <w:t>七</w:t>
      </w:r>
      <w:r>
        <w:rPr>
          <w:rFonts w:hint="eastAsia" w:ascii="宋体" w:hAnsi="宋体" w:eastAsia="宋体"/>
          <w:b/>
          <w:sz w:val="28"/>
          <w:szCs w:val="28"/>
        </w:rPr>
        <w:t>、商业设施规划</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sz w:val="28"/>
          <w:szCs w:val="28"/>
        </w:rPr>
      </w:pPr>
      <w:r>
        <w:rPr>
          <w:rFonts w:hint="eastAsia" w:ascii="宋体" w:hAnsi="宋体" w:eastAsia="宋体"/>
          <w:sz w:val="28"/>
          <w:szCs w:val="28"/>
        </w:rPr>
        <w:t>结合规划区西北侧产业门户节点，在东南大道与昆承湖西路交叉口西南侧打造</w:t>
      </w:r>
      <w:r>
        <w:rPr>
          <w:rFonts w:ascii="宋体" w:hAnsi="宋体" w:eastAsia="宋体"/>
          <w:sz w:val="28"/>
          <w:szCs w:val="28"/>
        </w:rPr>
        <w:t>1处商业商务区</w:t>
      </w:r>
      <w:r>
        <w:rPr>
          <w:rFonts w:hint="eastAsia" w:ascii="宋体" w:hAnsi="宋体" w:eastAsia="宋体"/>
          <w:sz w:val="28"/>
          <w:szCs w:val="28"/>
        </w:rPr>
        <w:t>。沿昆承湖打造一条长约</w:t>
      </w:r>
      <w:r>
        <w:rPr>
          <w:rFonts w:ascii="宋体" w:hAnsi="宋体" w:eastAsia="宋体"/>
          <w:sz w:val="28"/>
          <w:szCs w:val="28"/>
        </w:rPr>
        <w:t>3公里，宽约40-120米不等的生态公园绿带，并规划三处驿站。</w:t>
      </w:r>
      <w:r>
        <w:rPr>
          <w:rFonts w:hint="eastAsia" w:ascii="宋体" w:hAnsi="宋体" w:eastAsia="宋体"/>
          <w:sz w:val="28"/>
          <w:szCs w:val="28"/>
        </w:rPr>
        <w:t>在中新大道与苏常快速路交叉口东北侧设置商业地块，</w:t>
      </w:r>
      <w:r>
        <w:rPr>
          <w:rFonts w:ascii="宋体" w:hAnsi="宋体" w:eastAsia="宋体"/>
          <w:sz w:val="28"/>
          <w:szCs w:val="28"/>
        </w:rPr>
        <w:t>作为片区的综合服务中心</w:t>
      </w:r>
      <w:r>
        <w:rPr>
          <w:rFonts w:hint="eastAsia" w:ascii="宋体" w:hAnsi="宋体" w:eastAsia="宋体"/>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ascii="宋体" w:hAnsi="宋体" w:eastAsia="宋体"/>
          <w:sz w:val="28"/>
          <w:szCs w:val="28"/>
        </w:rPr>
      </w:pPr>
      <w:r>
        <w:rPr>
          <w:rFonts w:hint="eastAsia" w:ascii="宋体" w:hAnsi="宋体" w:eastAsia="宋体"/>
          <w:b/>
          <w:sz w:val="28"/>
          <w:szCs w:val="28"/>
          <w:lang w:val="en-US" w:eastAsia="zh-CN"/>
        </w:rPr>
        <w:t>八</w:t>
      </w:r>
      <w:r>
        <w:rPr>
          <w:rFonts w:hint="eastAsia" w:ascii="宋体" w:hAnsi="宋体" w:eastAsia="宋体"/>
          <w:b/>
          <w:sz w:val="28"/>
          <w:szCs w:val="28"/>
        </w:rPr>
        <w:t>、道路交通规划</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ascii="宋体" w:hAnsi="宋体" w:eastAsia="宋体"/>
          <w:sz w:val="28"/>
          <w:szCs w:val="28"/>
        </w:rPr>
      </w:pPr>
      <w:r>
        <w:rPr>
          <w:rFonts w:hint="eastAsia" w:ascii="宋体" w:hAnsi="宋体" w:eastAsia="宋体"/>
          <w:sz w:val="28"/>
          <w:szCs w:val="28"/>
        </w:rPr>
        <w:t>规划区以居住功能为主，重点塑造安全、安静的交通环境，构建连续的慢行网络，加强慢行与公共交通的衔接。对外快速路为苏常快速路，主干路为东南大道、中新大道，次干路为星平路、陈泾路、昆承湖西路，支路为盛兴路、银湖路、星湖路等。</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ascii="宋体" w:hAnsi="宋体" w:eastAsia="宋体"/>
          <w:b/>
          <w:sz w:val="28"/>
          <w:szCs w:val="28"/>
        </w:rPr>
      </w:pPr>
      <w:r>
        <w:rPr>
          <w:rFonts w:hint="eastAsia" w:ascii="宋体" w:hAnsi="宋体" w:eastAsia="宋体"/>
          <w:b/>
          <w:sz w:val="28"/>
          <w:szCs w:val="28"/>
          <w:lang w:val="en-US" w:eastAsia="zh-CN"/>
        </w:rPr>
        <w:t>九</w:t>
      </w:r>
      <w:r>
        <w:rPr>
          <w:rFonts w:hint="eastAsia" w:ascii="宋体" w:hAnsi="宋体" w:eastAsia="宋体"/>
          <w:b/>
          <w:sz w:val="28"/>
          <w:szCs w:val="28"/>
        </w:rPr>
        <w:t>、蓝绿系统规划</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cs="宋体"/>
          <w:color w:val="000000"/>
          <w:kern w:val="0"/>
          <w:sz w:val="28"/>
          <w:szCs w:val="28"/>
          <w:shd w:val="clear" w:color="auto" w:fill="FFFFFF"/>
        </w:rPr>
      </w:pPr>
      <w:r>
        <w:rPr>
          <w:rFonts w:hint="eastAsia" w:ascii="宋体" w:hAnsi="宋体" w:cs="宋体"/>
          <w:color w:val="000000"/>
          <w:kern w:val="0"/>
          <w:sz w:val="28"/>
          <w:szCs w:val="28"/>
          <w:shd w:val="clear" w:color="auto" w:fill="FFFFFF"/>
        </w:rPr>
        <w:t>规划形成“一核多带多点”的蓝绿空间结构，“一核”为滨湖活力公园，“多带”为滨湖、滨河及道路绿带，“多点”为湿地公园及社区公园。</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hint="eastAsia" w:ascii="宋体" w:hAnsi="宋体" w:eastAsia="宋体"/>
          <w:sz w:val="28"/>
          <w:szCs w:val="28"/>
        </w:rPr>
      </w:pPr>
      <w:r>
        <w:rPr>
          <w:rFonts w:hint="eastAsia" w:ascii="宋体" w:hAnsi="宋体" w:eastAsia="宋体"/>
          <w:sz w:val="28"/>
          <w:szCs w:val="28"/>
        </w:rPr>
        <w:t xml:space="preserve">附图： </w:t>
      </w:r>
      <w:r>
        <w:rPr>
          <w:rFonts w:ascii="宋体" w:hAnsi="宋体" w:eastAsia="宋体"/>
          <w:sz w:val="28"/>
          <w:szCs w:val="28"/>
        </w:rPr>
        <w:t>1</w:t>
      </w:r>
      <w:r>
        <w:rPr>
          <w:rFonts w:hint="eastAsia" w:ascii="宋体" w:hAnsi="宋体" w:eastAsia="宋体"/>
          <w:sz w:val="28"/>
          <w:szCs w:val="28"/>
        </w:rPr>
        <w:t>、区位图</w:t>
      </w:r>
    </w:p>
    <w:p>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outlineLvl w:val="0"/>
        <w:rPr>
          <w:rFonts w:hint="eastAsia" w:ascii="宋体" w:hAnsi="宋体" w:eastAsia="宋体"/>
          <w:sz w:val="28"/>
          <w:szCs w:val="28"/>
        </w:rPr>
      </w:pPr>
      <w:r>
        <w:rPr>
          <w:rFonts w:ascii="宋体" w:hAnsi="宋体" w:eastAsia="宋体"/>
          <w:sz w:val="28"/>
          <w:szCs w:val="28"/>
        </w:rPr>
        <w:drawing>
          <wp:anchor distT="0" distB="0" distL="0" distR="0" simplePos="0" relativeHeight="251660288" behindDoc="0" locked="0" layoutInCell="1" allowOverlap="1">
            <wp:simplePos x="0" y="0"/>
            <wp:positionH relativeFrom="column">
              <wp:posOffset>542925</wp:posOffset>
            </wp:positionH>
            <wp:positionV relativeFrom="paragraph">
              <wp:posOffset>113665</wp:posOffset>
            </wp:positionV>
            <wp:extent cx="4775835" cy="3094990"/>
            <wp:effectExtent l="0" t="0" r="5715" b="10160"/>
            <wp:wrapTopAndBottom/>
            <wp:docPr id="4" name="图片 4" descr="D:\新建文件夹\WeChat Files\goukeng0506\FileStorage\Temp\58bde088a11324069195d8808615f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新建文件夹\WeChat Files\goukeng0506\FileStorage\Temp\58bde088a11324069195d8808615fd2.jpg"/>
                    <pic:cNvPicPr>
                      <a:picLocks noChangeAspect="1" noChangeArrowheads="1"/>
                    </pic:cNvPicPr>
                  </pic:nvPicPr>
                  <pic:blipFill>
                    <a:blip r:embed="rId4" cstate="print">
                      <a:extLst>
                        <a:ext uri="{28A0092B-C50C-407E-A947-70E740481C1C}">
                          <a14:useLocalDpi xmlns:a14="http://schemas.microsoft.com/office/drawing/2010/main" val="0"/>
                        </a:ext>
                      </a:extLst>
                    </a:blip>
                    <a:srcRect l="5411" r="4006"/>
                    <a:stretch>
                      <a:fillRect/>
                    </a:stretch>
                  </pic:blipFill>
                  <pic:spPr>
                    <a:xfrm>
                      <a:off x="0" y="0"/>
                      <a:ext cx="4777593" cy="3096142"/>
                    </a:xfrm>
                    <a:prstGeom prst="rect">
                      <a:avLst/>
                    </a:prstGeom>
                    <a:noFill/>
                    <a:ln>
                      <a:noFill/>
                    </a:ln>
                  </pic:spPr>
                </pic:pic>
              </a:graphicData>
            </a:graphic>
          </wp:anchor>
        </w:drawing>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1400" w:firstLineChars="500"/>
        <w:jc w:val="left"/>
        <w:textAlignment w:val="auto"/>
        <w:outlineLvl w:val="0"/>
        <w:rPr>
          <w:rFonts w:ascii="宋体" w:hAnsi="宋体" w:eastAsia="宋体"/>
          <w:sz w:val="28"/>
          <w:szCs w:val="28"/>
        </w:rPr>
      </w:pPr>
      <w:r>
        <w:rPr>
          <w:rFonts w:ascii="宋体" w:hAnsi="宋体" w:eastAsia="宋体"/>
          <w:sz w:val="28"/>
          <w:szCs w:val="28"/>
        </w:rPr>
        <w:t>规划结构图</w:t>
      </w:r>
    </w:p>
    <w:p>
      <w:pPr>
        <w:keepNext w:val="0"/>
        <w:keepLines w:val="0"/>
        <w:pageBreakBefore w:val="0"/>
        <w:widowControl w:val="0"/>
        <w:numPr>
          <w:numId w:val="0"/>
        </w:numPr>
        <w:kinsoku/>
        <w:wordWrap/>
        <w:overflowPunct/>
        <w:topLinePunct w:val="0"/>
        <w:autoSpaceDE/>
        <w:autoSpaceDN/>
        <w:bidi w:val="0"/>
        <w:adjustRightInd/>
        <w:snapToGrid/>
        <w:spacing w:line="560" w:lineRule="exact"/>
        <w:jc w:val="left"/>
        <w:textAlignment w:val="auto"/>
        <w:outlineLvl w:val="0"/>
        <w:rPr>
          <w:rFonts w:ascii="宋体" w:hAnsi="宋体" w:eastAsia="宋体"/>
          <w:sz w:val="28"/>
          <w:szCs w:val="28"/>
        </w:rPr>
      </w:pPr>
      <w:r>
        <w:rPr>
          <w:rFonts w:ascii="宋体" w:hAnsi="宋体" w:eastAsia="宋体"/>
          <w:sz w:val="28"/>
          <w:szCs w:val="28"/>
        </w:rPr>
        <w:drawing>
          <wp:anchor distT="0" distB="0" distL="0" distR="0" simplePos="0" relativeHeight="251661312" behindDoc="0" locked="0" layoutInCell="1" allowOverlap="1">
            <wp:simplePos x="0" y="0"/>
            <wp:positionH relativeFrom="column">
              <wp:posOffset>1104900</wp:posOffset>
            </wp:positionH>
            <wp:positionV relativeFrom="paragraph">
              <wp:posOffset>189865</wp:posOffset>
            </wp:positionV>
            <wp:extent cx="3599815" cy="3726815"/>
            <wp:effectExtent l="0" t="0" r="635" b="6985"/>
            <wp:wrapTopAndBottom/>
            <wp:docPr id="6" name="图片 6" descr="C:\Users\chenjh\Desktop\公示图片\公示图片\1规划结构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chenjh\Desktop\公示图片\公示图片\1规划结构图.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599815" cy="3726815"/>
                    </a:xfrm>
                    <a:prstGeom prst="rect">
                      <a:avLst/>
                    </a:prstGeom>
                    <a:noFill/>
                    <a:ln>
                      <a:noFill/>
                    </a:ln>
                  </pic:spPr>
                </pic:pic>
              </a:graphicData>
            </a:graphic>
          </wp:anchor>
        </w:drawing>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1400" w:firstLineChars="500"/>
        <w:jc w:val="left"/>
        <w:textAlignment w:val="auto"/>
        <w:outlineLvl w:val="0"/>
        <w:rPr>
          <w:rFonts w:ascii="宋体" w:hAnsi="宋体" w:eastAsia="宋体"/>
          <w:sz w:val="28"/>
          <w:szCs w:val="28"/>
        </w:rPr>
      </w:pPr>
      <w:r>
        <w:rPr>
          <w:rFonts w:hint="eastAsia" w:ascii="宋体" w:hAnsi="宋体" w:eastAsia="宋体"/>
          <w:sz w:val="28"/>
          <w:szCs w:val="28"/>
        </w:rPr>
        <w:t>国土空间利用规划</w:t>
      </w:r>
      <w:r>
        <w:rPr>
          <w:rFonts w:ascii="宋体" w:hAnsi="宋体" w:eastAsia="宋体"/>
          <w:sz w:val="28"/>
          <w:szCs w:val="28"/>
        </w:rPr>
        <w:t>图</w:t>
      </w:r>
    </w:p>
    <w:p>
      <w:pPr>
        <w:keepNext w:val="0"/>
        <w:keepLines w:val="0"/>
        <w:pageBreakBefore w:val="0"/>
        <w:widowControl w:val="0"/>
        <w:numPr>
          <w:numId w:val="0"/>
        </w:numPr>
        <w:kinsoku/>
        <w:wordWrap/>
        <w:overflowPunct/>
        <w:topLinePunct w:val="0"/>
        <w:autoSpaceDE/>
        <w:autoSpaceDN/>
        <w:bidi w:val="0"/>
        <w:adjustRightInd/>
        <w:snapToGrid/>
        <w:spacing w:line="560" w:lineRule="exact"/>
        <w:jc w:val="left"/>
        <w:textAlignment w:val="auto"/>
        <w:outlineLvl w:val="0"/>
        <w:rPr>
          <w:rFonts w:ascii="宋体" w:hAnsi="宋体" w:eastAsia="宋体"/>
          <w:sz w:val="28"/>
          <w:szCs w:val="28"/>
        </w:rPr>
      </w:pPr>
      <w:r>
        <w:rPr>
          <w:rFonts w:ascii="宋体" w:hAnsi="宋体" w:eastAsia="宋体"/>
          <w:sz w:val="28"/>
          <w:szCs w:val="28"/>
        </w:rPr>
        <w:drawing>
          <wp:anchor distT="0" distB="0" distL="0" distR="0" simplePos="0" relativeHeight="251662336" behindDoc="0" locked="0" layoutInCell="1" allowOverlap="1">
            <wp:simplePos x="0" y="0"/>
            <wp:positionH relativeFrom="column">
              <wp:posOffset>704215</wp:posOffset>
            </wp:positionH>
            <wp:positionV relativeFrom="paragraph">
              <wp:posOffset>97155</wp:posOffset>
            </wp:positionV>
            <wp:extent cx="3599815" cy="3726815"/>
            <wp:effectExtent l="0" t="0" r="635" b="6985"/>
            <wp:wrapTopAndBottom/>
            <wp:docPr id="8" name="图片 8" descr="C:\Users\chenjh\Desktop\公示图片\公示图片\2国土空间利用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chenjh\Desktop\公示图片\公示图片\2国土空间利用规划图.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599815" cy="3726815"/>
                    </a:xfrm>
                    <a:prstGeom prst="rect">
                      <a:avLst/>
                    </a:prstGeom>
                    <a:noFill/>
                    <a:ln>
                      <a:noFill/>
                    </a:ln>
                  </pic:spPr>
                </pic:pic>
              </a:graphicData>
            </a:graphic>
          </wp:anchor>
        </w:drawing>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1400" w:firstLineChars="500"/>
        <w:jc w:val="left"/>
        <w:textAlignment w:val="auto"/>
        <w:outlineLvl w:val="0"/>
        <w:rPr>
          <w:rFonts w:hint="eastAsia" w:ascii="宋体" w:hAnsi="宋体" w:eastAsia="宋体"/>
          <w:sz w:val="28"/>
          <w:szCs w:val="28"/>
        </w:rPr>
      </w:pPr>
      <w:r>
        <w:rPr>
          <w:rFonts w:hint="eastAsia" w:ascii="宋体" w:hAnsi="宋体" w:eastAsia="宋体"/>
          <w:sz w:val="28"/>
          <w:szCs w:val="28"/>
        </w:rPr>
        <w:drawing>
          <wp:anchor distT="0" distB="0" distL="114300" distR="114300" simplePos="0" relativeHeight="251659264" behindDoc="0" locked="0" layoutInCell="1" allowOverlap="1">
            <wp:simplePos x="0" y="0"/>
            <wp:positionH relativeFrom="margin">
              <wp:posOffset>704215</wp:posOffset>
            </wp:positionH>
            <wp:positionV relativeFrom="paragraph">
              <wp:posOffset>671830</wp:posOffset>
            </wp:positionV>
            <wp:extent cx="3599815" cy="3727450"/>
            <wp:effectExtent l="0" t="0" r="635" b="6350"/>
            <wp:wrapTopAndBottom/>
            <wp:docPr id="2" name="图片 2" descr="//isifs.siad.com/181fileserver/The Planning Institute I/00-项目归档/2021年/城市设计所/14 中新昆承湖园区概念规划及城市设计/3-阶段成果（按日期命名、各阶段重要文件：ppt、psd、cad、word、AI、ID等）/000湖西单元详细规划/城市设计所PSD/1月 - 副本/0103说明书图片/7.jp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sifs.siad.com/181fileserver/The Planning Institute I/00-项目归档/2021年/城市设计所/14 中新昆承湖园区概念规划及城市设计/3-阶段成果（按日期命名、各阶段重要文件：ppt、psd、cad、word、AI、ID等）/000湖西单元详细规划/城市设计所PSD/1月 - 副本/0103说明书图片/7.jpg7"/>
                    <pic:cNvPicPr>
                      <a:picLocks noChangeAspect="1" noChangeArrowheads="1"/>
                    </pic:cNvPicPr>
                  </pic:nvPicPr>
                  <pic:blipFill>
                    <a:blip r:embed="rId7" cstate="print">
                      <a:extLst>
                        <a:ext uri="{28A0092B-C50C-407E-A947-70E740481C1C}">
                          <a14:useLocalDpi xmlns:a14="http://schemas.microsoft.com/office/drawing/2010/main" val="0"/>
                        </a:ext>
                      </a:extLst>
                    </a:blip>
                    <a:srcRect t="8" b="8"/>
                    <a:stretch>
                      <a:fillRect/>
                    </a:stretch>
                  </pic:blipFill>
                  <pic:spPr>
                    <a:xfrm>
                      <a:off x="0" y="0"/>
                      <a:ext cx="3599815" cy="3727450"/>
                    </a:xfrm>
                    <a:prstGeom prst="rect">
                      <a:avLst/>
                    </a:prstGeom>
                    <a:noFill/>
                    <a:ln>
                      <a:noFill/>
                    </a:ln>
                    <a:effectLst/>
                  </pic:spPr>
                </pic:pic>
              </a:graphicData>
            </a:graphic>
          </wp:anchor>
        </w:drawing>
      </w:r>
      <w:r>
        <w:rPr>
          <w:rFonts w:hint="eastAsia" w:ascii="宋体" w:hAnsi="宋体" w:eastAsia="宋体"/>
          <w:sz w:val="28"/>
          <w:szCs w:val="28"/>
        </w:rPr>
        <w:t>生活圈组织规划图</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1400" w:firstLineChars="500"/>
        <w:jc w:val="left"/>
        <w:textAlignment w:val="auto"/>
        <w:outlineLvl w:val="0"/>
        <w:rPr>
          <w:rFonts w:ascii="宋体" w:hAnsi="宋体" w:eastAsia="宋体"/>
          <w:sz w:val="28"/>
          <w:szCs w:val="28"/>
        </w:rPr>
      </w:pPr>
      <w:r>
        <w:rPr>
          <w:rFonts w:ascii="宋体" w:hAnsi="宋体" w:eastAsia="宋体"/>
          <w:sz w:val="28"/>
          <w:szCs w:val="28"/>
        </w:rPr>
        <w:t>道路</w:t>
      </w:r>
      <w:r>
        <w:rPr>
          <w:rFonts w:hint="eastAsia" w:ascii="宋体" w:hAnsi="宋体" w:eastAsia="宋体"/>
          <w:sz w:val="28"/>
          <w:szCs w:val="28"/>
        </w:rPr>
        <w:t>交通</w:t>
      </w:r>
      <w:r>
        <w:rPr>
          <w:rFonts w:ascii="宋体" w:hAnsi="宋体" w:eastAsia="宋体"/>
          <w:sz w:val="28"/>
          <w:szCs w:val="28"/>
        </w:rPr>
        <w:t>规划图</w:t>
      </w:r>
    </w:p>
    <w:p>
      <w:pPr>
        <w:keepNext w:val="0"/>
        <w:keepLines w:val="0"/>
        <w:pageBreakBefore w:val="0"/>
        <w:widowControl w:val="0"/>
        <w:numPr>
          <w:numId w:val="0"/>
        </w:numPr>
        <w:kinsoku/>
        <w:wordWrap/>
        <w:overflowPunct/>
        <w:topLinePunct w:val="0"/>
        <w:autoSpaceDE/>
        <w:autoSpaceDN/>
        <w:bidi w:val="0"/>
        <w:adjustRightInd/>
        <w:snapToGrid/>
        <w:spacing w:line="560" w:lineRule="exact"/>
        <w:jc w:val="left"/>
        <w:textAlignment w:val="auto"/>
        <w:outlineLvl w:val="0"/>
        <w:rPr>
          <w:rFonts w:ascii="宋体" w:hAnsi="宋体" w:eastAsia="宋体"/>
          <w:sz w:val="28"/>
          <w:szCs w:val="28"/>
        </w:rPr>
      </w:pPr>
      <w:r>
        <w:rPr>
          <w:rFonts w:ascii="宋体" w:hAnsi="宋体" w:eastAsia="宋体"/>
          <w:sz w:val="28"/>
          <w:szCs w:val="28"/>
        </w:rPr>
        <w:drawing>
          <wp:anchor distT="0" distB="0" distL="0" distR="0" simplePos="0" relativeHeight="251663360" behindDoc="0" locked="0" layoutInCell="1" allowOverlap="1">
            <wp:simplePos x="0" y="0"/>
            <wp:positionH relativeFrom="column">
              <wp:posOffset>647700</wp:posOffset>
            </wp:positionH>
            <wp:positionV relativeFrom="paragraph">
              <wp:posOffset>136525</wp:posOffset>
            </wp:positionV>
            <wp:extent cx="3599815" cy="3726815"/>
            <wp:effectExtent l="0" t="0" r="635" b="6985"/>
            <wp:wrapTopAndBottom/>
            <wp:docPr id="12" name="图片 12" descr="C:\Users\chenjh\Desktop\公示图片\公示图片\3道路交通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chenjh\Desktop\公示图片\公示图片\3道路交通规划图.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99815" cy="3726815"/>
                    </a:xfrm>
                    <a:prstGeom prst="rect">
                      <a:avLst/>
                    </a:prstGeom>
                    <a:noFill/>
                    <a:ln>
                      <a:noFill/>
                    </a:ln>
                  </pic:spPr>
                </pic:pic>
              </a:graphicData>
            </a:graphic>
          </wp:anchor>
        </w:drawing>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1050" w:firstLineChars="500"/>
        <w:jc w:val="left"/>
        <w:textAlignment w:val="auto"/>
        <w:outlineLvl w:val="0"/>
        <w:rPr>
          <w:rFonts w:hint="eastAsia" w:ascii="宋体" w:hAnsi="宋体" w:eastAsia="宋体"/>
          <w:sz w:val="28"/>
          <w:szCs w:val="28"/>
        </w:rPr>
      </w:pPr>
      <w:r>
        <w:drawing>
          <wp:anchor distT="0" distB="0" distL="0" distR="0" simplePos="0" relativeHeight="251664384" behindDoc="0" locked="0" layoutInCell="1" allowOverlap="1">
            <wp:simplePos x="0" y="0"/>
            <wp:positionH relativeFrom="column">
              <wp:posOffset>647700</wp:posOffset>
            </wp:positionH>
            <wp:positionV relativeFrom="paragraph">
              <wp:posOffset>560705</wp:posOffset>
            </wp:positionV>
            <wp:extent cx="3599815" cy="3726815"/>
            <wp:effectExtent l="0" t="0" r="635" b="698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3599815" cy="3726815"/>
                    </a:xfrm>
                    <a:prstGeom prst="rect">
                      <a:avLst/>
                    </a:prstGeom>
                  </pic:spPr>
                </pic:pic>
              </a:graphicData>
            </a:graphic>
          </wp:anchor>
        </w:drawing>
      </w:r>
      <w:r>
        <w:rPr>
          <w:rFonts w:hint="eastAsia" w:ascii="宋体" w:hAnsi="宋体" w:eastAsia="宋体"/>
          <w:sz w:val="28"/>
          <w:szCs w:val="28"/>
        </w:rPr>
        <w:t>蓝绿空间结构图</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965246"/>
    <w:multiLevelType w:val="singleLevel"/>
    <w:tmpl w:val="4A96524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BlOGRlYjg3Y2EwM2Y3MTMwNzk5YmU0MTE4ZmZkZTUifQ=="/>
  </w:docVars>
  <w:rsids>
    <w:rsidRoot w:val="00172A27"/>
    <w:rsid w:val="000027D2"/>
    <w:rsid w:val="00060F11"/>
    <w:rsid w:val="00075A57"/>
    <w:rsid w:val="00113B36"/>
    <w:rsid w:val="00172A27"/>
    <w:rsid w:val="001837E3"/>
    <w:rsid w:val="00286E87"/>
    <w:rsid w:val="002E7AC9"/>
    <w:rsid w:val="00310A82"/>
    <w:rsid w:val="00343D0B"/>
    <w:rsid w:val="003A3C5A"/>
    <w:rsid w:val="00401294"/>
    <w:rsid w:val="004E2D8B"/>
    <w:rsid w:val="005255A1"/>
    <w:rsid w:val="005A5070"/>
    <w:rsid w:val="005B4127"/>
    <w:rsid w:val="005D3EA2"/>
    <w:rsid w:val="005E4EA9"/>
    <w:rsid w:val="00622830"/>
    <w:rsid w:val="00674DEC"/>
    <w:rsid w:val="006B4718"/>
    <w:rsid w:val="006B5183"/>
    <w:rsid w:val="00703F8F"/>
    <w:rsid w:val="00772715"/>
    <w:rsid w:val="00783479"/>
    <w:rsid w:val="007E6145"/>
    <w:rsid w:val="007F290F"/>
    <w:rsid w:val="007F4F6D"/>
    <w:rsid w:val="00831220"/>
    <w:rsid w:val="00841138"/>
    <w:rsid w:val="00856CBD"/>
    <w:rsid w:val="00872333"/>
    <w:rsid w:val="009401F4"/>
    <w:rsid w:val="00966EB0"/>
    <w:rsid w:val="00994FA4"/>
    <w:rsid w:val="009F0CFB"/>
    <w:rsid w:val="009F2E79"/>
    <w:rsid w:val="00A24901"/>
    <w:rsid w:val="00A35AAF"/>
    <w:rsid w:val="00A56CBA"/>
    <w:rsid w:val="00A60C39"/>
    <w:rsid w:val="00A778B2"/>
    <w:rsid w:val="00AF6724"/>
    <w:rsid w:val="00B017DF"/>
    <w:rsid w:val="00B03FA5"/>
    <w:rsid w:val="00B06F75"/>
    <w:rsid w:val="00B51B2F"/>
    <w:rsid w:val="00B82E3F"/>
    <w:rsid w:val="00BE1447"/>
    <w:rsid w:val="00C0654E"/>
    <w:rsid w:val="00C17581"/>
    <w:rsid w:val="00C36E66"/>
    <w:rsid w:val="00C55B8F"/>
    <w:rsid w:val="00C95758"/>
    <w:rsid w:val="00DD6062"/>
    <w:rsid w:val="00DD6E6B"/>
    <w:rsid w:val="00DE1AD1"/>
    <w:rsid w:val="00E44C82"/>
    <w:rsid w:val="00EF2CF7"/>
    <w:rsid w:val="00F160D0"/>
    <w:rsid w:val="00F22454"/>
    <w:rsid w:val="00F63B73"/>
    <w:rsid w:val="00FB3A7E"/>
    <w:rsid w:val="00FE40DD"/>
    <w:rsid w:val="00FF30D6"/>
    <w:rsid w:val="00FF6026"/>
    <w:rsid w:val="01D45ECD"/>
    <w:rsid w:val="02A824AD"/>
    <w:rsid w:val="042A5F36"/>
    <w:rsid w:val="05432019"/>
    <w:rsid w:val="06F7794E"/>
    <w:rsid w:val="07EF6488"/>
    <w:rsid w:val="0AE766A9"/>
    <w:rsid w:val="0C1F4088"/>
    <w:rsid w:val="0C8250BB"/>
    <w:rsid w:val="0DE92A57"/>
    <w:rsid w:val="10845A26"/>
    <w:rsid w:val="14846ABF"/>
    <w:rsid w:val="1D3476E1"/>
    <w:rsid w:val="1DAC4932"/>
    <w:rsid w:val="1FB42039"/>
    <w:rsid w:val="22B01A46"/>
    <w:rsid w:val="23046FB3"/>
    <w:rsid w:val="23BF2D5B"/>
    <w:rsid w:val="248C5333"/>
    <w:rsid w:val="281A3E0D"/>
    <w:rsid w:val="2BDB6BA0"/>
    <w:rsid w:val="2F9B2C1E"/>
    <w:rsid w:val="31010466"/>
    <w:rsid w:val="32130400"/>
    <w:rsid w:val="33BE4DDD"/>
    <w:rsid w:val="35403C9A"/>
    <w:rsid w:val="36013104"/>
    <w:rsid w:val="37AC319E"/>
    <w:rsid w:val="37E57A26"/>
    <w:rsid w:val="3896148D"/>
    <w:rsid w:val="3BD62D48"/>
    <w:rsid w:val="3CBD0327"/>
    <w:rsid w:val="3D2263DC"/>
    <w:rsid w:val="42A653BA"/>
    <w:rsid w:val="42F959DB"/>
    <w:rsid w:val="45AD03EC"/>
    <w:rsid w:val="473F7B8B"/>
    <w:rsid w:val="485D7DC7"/>
    <w:rsid w:val="49765831"/>
    <w:rsid w:val="49926698"/>
    <w:rsid w:val="4CFF2296"/>
    <w:rsid w:val="4D5A27B2"/>
    <w:rsid w:val="4F691C49"/>
    <w:rsid w:val="50F47C38"/>
    <w:rsid w:val="524E5126"/>
    <w:rsid w:val="5B773940"/>
    <w:rsid w:val="5EBC30A5"/>
    <w:rsid w:val="5FBA6CC0"/>
    <w:rsid w:val="63251ED3"/>
    <w:rsid w:val="638567B9"/>
    <w:rsid w:val="68376930"/>
    <w:rsid w:val="69A91168"/>
    <w:rsid w:val="69F754D3"/>
    <w:rsid w:val="6A095B44"/>
    <w:rsid w:val="6C506213"/>
    <w:rsid w:val="6FD93283"/>
    <w:rsid w:val="70FB6896"/>
    <w:rsid w:val="731335EB"/>
    <w:rsid w:val="73AE6289"/>
    <w:rsid w:val="74D7060F"/>
    <w:rsid w:val="76264E7A"/>
    <w:rsid w:val="766C3C49"/>
    <w:rsid w:val="77D00302"/>
    <w:rsid w:val="78731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eastAsia="宋体" w:cs="Times New Roman"/>
      <w:szCs w:val="24"/>
    </w:r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页眉 字符"/>
    <w:basedOn w:val="7"/>
    <w:link w:val="5"/>
    <w:qFormat/>
    <w:uiPriority w:val="99"/>
    <w:rPr>
      <w:sz w:val="18"/>
      <w:szCs w:val="18"/>
    </w:rPr>
  </w:style>
  <w:style w:type="character" w:customStyle="1" w:styleId="11">
    <w:name w:val="页脚 字符"/>
    <w:basedOn w:val="7"/>
    <w:link w:val="4"/>
    <w:qFormat/>
    <w:uiPriority w:val="99"/>
    <w:rPr>
      <w:sz w:val="18"/>
      <w:szCs w:val="18"/>
    </w:rPr>
  </w:style>
  <w:style w:type="character" w:customStyle="1" w:styleId="12">
    <w:name w:val="批注框文本 字符"/>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1841</Words>
  <Characters>1897</Characters>
  <Lines>14</Lines>
  <Paragraphs>4</Paragraphs>
  <TotalTime>8</TotalTime>
  <ScaleCrop>false</ScaleCrop>
  <LinksUpToDate>false</LinksUpToDate>
  <CharactersWithSpaces>1960</CharactersWithSpaces>
  <Application>WPS Office_12.1.0.16929_F1E327BC-269C-435d-A152-05C5408002CA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2024-05-22T02:13:00Z</dcterms:created>
  <dc:creator>曾毅骅</dc:creator>
  <cp:lastModifiedBy>小蝙蝠</cp:lastModifiedBy>
  <cp:lastPrinted>2024-05-21T02:56:00Z</cp:lastPrinted>
  <dcterms:modified xsi:type="dcterms:W3CDTF">2024-05-22T07:53:56Z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00DA892B018B4B25AAABCFB3A4487C7F_13</vt:lpwstr>
  </property>
</Properties>
</file>