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5DD" w:rsidRPr="009C0258" w:rsidRDefault="009C0258">
      <w:pPr>
        <w:pStyle w:val="a3"/>
        <w:widowControl/>
        <w:shd w:val="clear" w:color="auto" w:fill="FFFFFF"/>
        <w:spacing w:beforeAutospacing="0" w:afterAutospacing="0" w:line="360" w:lineRule="atLeast"/>
        <w:jc w:val="center"/>
        <w:rPr>
          <w:rFonts w:ascii="黑体" w:eastAsia="黑体" w:hAnsi="黑体" w:cs="宋体"/>
          <w:b/>
          <w:bCs/>
          <w:sz w:val="36"/>
          <w:szCs w:val="36"/>
          <w:shd w:val="clear" w:color="auto" w:fill="FFFFFF"/>
        </w:rPr>
      </w:pPr>
      <w:r w:rsidRPr="009C0258">
        <w:rPr>
          <w:rFonts w:ascii="黑体" w:eastAsia="黑体" w:hAnsi="黑体" w:cs="宋体" w:hint="eastAsia"/>
          <w:b/>
          <w:bCs/>
          <w:sz w:val="36"/>
          <w:szCs w:val="36"/>
          <w:shd w:val="clear" w:color="auto" w:fill="FFFFFF"/>
        </w:rPr>
        <w:t>《常熟</w:t>
      </w:r>
      <w:r w:rsidRPr="009C0258">
        <w:rPr>
          <w:rFonts w:ascii="黑体" w:eastAsia="黑体" w:hAnsi="黑体" w:cs="宋体" w:hint="eastAsia"/>
          <w:b/>
          <w:bCs/>
          <w:sz w:val="36"/>
          <w:szCs w:val="36"/>
          <w:shd w:val="clear" w:color="auto" w:fill="FFFFFF"/>
        </w:rPr>
        <w:t>南部新城苏嘉杭西片区</w:t>
      </w:r>
      <w:r w:rsidRPr="009C0258">
        <w:rPr>
          <w:rFonts w:ascii="黑体" w:eastAsia="黑体" w:hAnsi="黑体" w:cs="宋体" w:hint="eastAsia"/>
          <w:b/>
          <w:bCs/>
          <w:sz w:val="36"/>
          <w:szCs w:val="36"/>
          <w:shd w:val="clear" w:color="auto" w:fill="FFFFFF"/>
        </w:rPr>
        <w:t>详细规划》</w:t>
      </w:r>
    </w:p>
    <w:p w:rsidR="00E115DD" w:rsidRPr="009C0258" w:rsidRDefault="009C0258">
      <w:pPr>
        <w:pStyle w:val="a3"/>
        <w:widowControl/>
        <w:shd w:val="clear" w:color="auto" w:fill="FFFFFF"/>
        <w:spacing w:beforeAutospacing="0" w:afterAutospacing="0" w:line="360" w:lineRule="atLeast"/>
        <w:jc w:val="center"/>
        <w:rPr>
          <w:rFonts w:ascii="黑体" w:eastAsia="黑体" w:hAnsi="黑体" w:cs="宋体"/>
          <w:b/>
          <w:bCs/>
          <w:sz w:val="36"/>
          <w:szCs w:val="36"/>
          <w:shd w:val="clear" w:color="auto" w:fill="FFFFFF"/>
        </w:rPr>
      </w:pPr>
      <w:r w:rsidRPr="009C0258">
        <w:rPr>
          <w:rFonts w:ascii="黑体" w:eastAsia="黑体" w:hAnsi="黑体" w:cs="宋体" w:hint="eastAsia"/>
          <w:b/>
          <w:bCs/>
          <w:sz w:val="36"/>
          <w:szCs w:val="36"/>
          <w:shd w:val="clear" w:color="auto" w:fill="FFFFFF"/>
        </w:rPr>
        <w:t>批后公布</w:t>
      </w:r>
    </w:p>
    <w:p w:rsidR="00E115DD" w:rsidRDefault="00E115DD">
      <w:pPr>
        <w:pStyle w:val="a3"/>
        <w:widowControl/>
        <w:shd w:val="clear" w:color="auto" w:fill="FFFFFF"/>
        <w:spacing w:beforeAutospacing="0" w:afterAutospacing="0" w:line="360" w:lineRule="atLeast"/>
        <w:jc w:val="center"/>
        <w:rPr>
          <w:rFonts w:ascii="宋体" w:eastAsia="宋体" w:hAnsi="宋体" w:cs="宋体"/>
          <w:b/>
          <w:bCs/>
          <w:sz w:val="36"/>
          <w:szCs w:val="36"/>
          <w:shd w:val="clear" w:color="auto" w:fill="FFFFFF"/>
        </w:rPr>
      </w:pPr>
    </w:p>
    <w:p w:rsidR="00E115DD" w:rsidRDefault="009C0258">
      <w:pPr>
        <w:pStyle w:val="a3"/>
        <w:widowControl/>
        <w:shd w:val="clear" w:color="auto" w:fill="FFFFFF"/>
        <w:spacing w:beforeAutospacing="0" w:afterAutospacing="0" w:line="360" w:lineRule="atLeast"/>
        <w:ind w:firstLine="420"/>
        <w:rPr>
          <w:rFonts w:ascii="宋体" w:eastAsia="宋体" w:hAnsi="宋体" w:cs="宋体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目前，《</w:t>
      </w: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常熟南部新城苏嘉杭西片区</w:t>
      </w: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详细规划》已获常熟市</w:t>
      </w:r>
      <w:bookmarkStart w:id="0" w:name="_GoBack"/>
      <w:bookmarkEnd w:id="0"/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人民政府正式批复。按照相关法律法规，现予以批后公布。</w:t>
      </w:r>
    </w:p>
    <w:p w:rsidR="00E115DD" w:rsidRDefault="009C0258">
      <w:pPr>
        <w:pStyle w:val="a3"/>
        <w:widowControl/>
        <w:spacing w:beforeAutospacing="0" w:afterAutospacing="0" w:line="560" w:lineRule="atLeast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一、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规划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范围</w:t>
      </w:r>
    </w:p>
    <w:p w:rsidR="00E115DD" w:rsidRDefault="009C0258">
      <w:pPr>
        <w:pStyle w:val="a3"/>
        <w:widowControl/>
        <w:shd w:val="clear" w:color="auto" w:fill="FFFFFF"/>
        <w:spacing w:beforeAutospacing="0" w:afterAutospacing="0" w:line="300" w:lineRule="atLeast"/>
        <w:ind w:firstLine="560"/>
        <w:rPr>
          <w:rFonts w:ascii="宋体" w:eastAsia="宋体" w:hAnsi="宋体" w:cs="宋体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北至白</w:t>
      </w:r>
      <w:proofErr w:type="gramStart"/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茆</w:t>
      </w:r>
      <w:proofErr w:type="gramEnd"/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塘，</w:t>
      </w:r>
      <w:proofErr w:type="gramStart"/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东至常台高速公路</w:t>
      </w:r>
      <w:proofErr w:type="gramEnd"/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，南至银河路，西至大</w:t>
      </w:r>
      <w:proofErr w:type="gramStart"/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滃</w:t>
      </w:r>
      <w:proofErr w:type="gramEnd"/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，规划面积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408.71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公顷。其中城市区域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295.35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公顷，农村区域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113.36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公顷。</w:t>
      </w:r>
    </w:p>
    <w:p w:rsidR="00E115DD" w:rsidRDefault="009C0258">
      <w:pPr>
        <w:pStyle w:val="a3"/>
        <w:widowControl/>
        <w:shd w:val="clear" w:color="auto" w:fill="FFFFFF"/>
        <w:spacing w:beforeAutospacing="0" w:afterAutospacing="0" w:line="300" w:lineRule="atLeast"/>
        <w:rPr>
          <w:rFonts w:ascii="宋体" w:eastAsia="宋体" w:hAnsi="宋体" w:cs="宋体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/>
          <w:bCs/>
          <w:color w:val="000000"/>
          <w:sz w:val="28"/>
          <w:szCs w:val="28"/>
          <w:shd w:val="clear" w:color="auto" w:fill="FFFFFF"/>
        </w:rPr>
        <w:t>二、规划定位</w:t>
      </w:r>
    </w:p>
    <w:p w:rsidR="00E115DD" w:rsidRDefault="009C0258">
      <w:pPr>
        <w:pStyle w:val="a3"/>
        <w:widowControl/>
        <w:shd w:val="clear" w:color="auto" w:fill="FFFFFF"/>
        <w:spacing w:beforeAutospacing="0" w:afterAutospacing="0" w:line="300" w:lineRule="atLeast"/>
        <w:ind w:firstLine="560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以新能源产业为主导，水</w:t>
      </w:r>
      <w:proofErr w:type="gramStart"/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环绿绕</w:t>
      </w:r>
      <w:proofErr w:type="gramEnd"/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、配套完善的绿色低碳智慧园。</w:t>
      </w:r>
    </w:p>
    <w:p w:rsidR="00E115DD" w:rsidRDefault="009C0258">
      <w:pPr>
        <w:pStyle w:val="a3"/>
        <w:widowControl/>
        <w:shd w:val="clear" w:color="auto" w:fill="FFFFFF"/>
        <w:spacing w:beforeAutospacing="0" w:afterAutospacing="0" w:line="300" w:lineRule="atLeast"/>
        <w:rPr>
          <w:rFonts w:ascii="宋体" w:hAnsi="宋体" w:cs="宋体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/>
          <w:bCs/>
          <w:color w:val="000000"/>
          <w:sz w:val="28"/>
          <w:szCs w:val="28"/>
          <w:shd w:val="clear" w:color="auto" w:fill="FFFFFF"/>
        </w:rPr>
        <w:t>三、规划结构</w:t>
      </w:r>
    </w:p>
    <w:p w:rsidR="00E115DD" w:rsidRDefault="009C0258">
      <w:pPr>
        <w:pStyle w:val="a3"/>
        <w:widowControl/>
        <w:shd w:val="clear" w:color="auto" w:fill="FFFFFF"/>
        <w:spacing w:beforeAutospacing="0" w:afterAutospacing="0" w:line="300" w:lineRule="atLeast"/>
        <w:ind w:firstLine="560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bookmarkStart w:id="1" w:name="_Toc330370077"/>
      <w:bookmarkStart w:id="2" w:name="_Toc333137223"/>
      <w:bookmarkStart w:id="3" w:name="_Toc140287628"/>
      <w:bookmarkStart w:id="4" w:name="_Toc330299426"/>
      <w:bookmarkStart w:id="5" w:name="_Toc330370390"/>
      <w:bookmarkStart w:id="6" w:name="_Toc330370998"/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规划形成“一轴·两组团”的布局结构。</w:t>
      </w:r>
    </w:p>
    <w:bookmarkEnd w:id="1"/>
    <w:bookmarkEnd w:id="2"/>
    <w:bookmarkEnd w:id="3"/>
    <w:bookmarkEnd w:id="4"/>
    <w:bookmarkEnd w:id="5"/>
    <w:bookmarkEnd w:id="6"/>
    <w:p w:rsidR="00E115DD" w:rsidRDefault="009C0258">
      <w:pPr>
        <w:pStyle w:val="a3"/>
        <w:widowControl/>
        <w:shd w:val="clear" w:color="auto" w:fill="FFFFFF"/>
        <w:spacing w:beforeAutospacing="0" w:afterAutospacing="0" w:line="300" w:lineRule="atLeast"/>
        <w:ind w:firstLine="560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“一轴”——</w:t>
      </w:r>
      <w:proofErr w:type="gramStart"/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指香园</w:t>
      </w:r>
      <w:proofErr w:type="gramEnd"/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路片区联系轴，是与周边片区联系的重要交通轴线。</w:t>
      </w:r>
    </w:p>
    <w:p w:rsidR="00E115DD" w:rsidRDefault="009C0258">
      <w:pPr>
        <w:pStyle w:val="a3"/>
        <w:widowControl/>
        <w:shd w:val="clear" w:color="auto" w:fill="FFFFFF"/>
        <w:spacing w:beforeAutospacing="0" w:afterAutospacing="0" w:line="300" w:lineRule="atLeast"/>
        <w:ind w:firstLine="560"/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“两组团”——结合片区功能分区和产业布局，形成东、西两个产业组团。西组团重点布局新能源龙头企业，打造新能源产</w:t>
      </w:r>
      <w:proofErr w:type="gramStart"/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研</w:t>
      </w:r>
      <w:proofErr w:type="gramEnd"/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中心，形成新能源技术高地；东组团重点布局新能源电池及关键系统零部件产业，推动电池、电机、电控等新能源上下</w:t>
      </w:r>
      <w:proofErr w:type="gramStart"/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链生产</w:t>
      </w:r>
      <w:proofErr w:type="gramEnd"/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企业集聚，形成新能源全产业链示范基地。</w:t>
      </w:r>
    </w:p>
    <w:p w:rsidR="00CA5D05" w:rsidRDefault="00CA5D05">
      <w:pPr>
        <w:pStyle w:val="a3"/>
        <w:widowControl/>
        <w:shd w:val="clear" w:color="auto" w:fill="FFFFFF"/>
        <w:spacing w:beforeAutospacing="0" w:afterAutospacing="0" w:line="300" w:lineRule="atLeast"/>
        <w:ind w:firstLine="560"/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</w:pPr>
    </w:p>
    <w:p w:rsidR="00CA5D05" w:rsidRDefault="00CA5D05">
      <w:pPr>
        <w:pStyle w:val="a3"/>
        <w:widowControl/>
        <w:shd w:val="clear" w:color="auto" w:fill="FFFFFF"/>
        <w:spacing w:beforeAutospacing="0" w:afterAutospacing="0" w:line="300" w:lineRule="atLeast"/>
        <w:ind w:firstLine="560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</w:p>
    <w:p w:rsidR="00E115DD" w:rsidRDefault="009C0258">
      <w:pPr>
        <w:rPr>
          <w:rFonts w:ascii="宋体" w:eastAsia="宋体" w:hAnsi="宋体" w:cs="宋体" w:hint="eastAsia"/>
          <w:kern w:val="0"/>
          <w:sz w:val="28"/>
          <w:szCs w:val="28"/>
          <w:shd w:val="clear" w:color="auto" w:fill="FFFFFF"/>
          <w:lang w:bidi="ar"/>
        </w:rPr>
      </w:pPr>
      <w:r>
        <w:rPr>
          <w:rFonts w:ascii="宋体" w:eastAsia="宋体" w:hAnsi="宋体" w:cs="宋体" w:hint="eastAsia"/>
          <w:kern w:val="0"/>
          <w:sz w:val="28"/>
          <w:szCs w:val="28"/>
          <w:shd w:val="clear" w:color="auto" w:fill="FFFFFF"/>
          <w:lang w:bidi="ar"/>
        </w:rPr>
        <w:lastRenderedPageBreak/>
        <w:t>附图：土地利用规划图</w:t>
      </w:r>
    </w:p>
    <w:p w:rsidR="00CA5D05" w:rsidRDefault="00CA5D05">
      <w:pPr>
        <w:rPr>
          <w:rFonts w:ascii="宋体" w:eastAsia="宋体" w:hAnsi="宋体" w:cs="宋体"/>
          <w:kern w:val="0"/>
          <w:sz w:val="28"/>
          <w:szCs w:val="28"/>
          <w:shd w:val="clear" w:color="auto" w:fill="FFFFFF"/>
          <w:lang w:bidi="ar"/>
        </w:rPr>
      </w:pPr>
      <w:r>
        <w:rPr>
          <w:rFonts w:ascii="宋体" w:eastAsia="宋体" w:hAnsi="宋体" w:cs="宋体" w:hint="eastAsia"/>
          <w:noProof/>
          <w:color w:val="000000"/>
          <w:sz w:val="28"/>
          <w:szCs w:val="28"/>
          <w:shd w:val="clear" w:color="auto" w:fill="FFFFFF"/>
        </w:rPr>
        <w:drawing>
          <wp:inline distT="0" distB="0" distL="0" distR="0">
            <wp:extent cx="5267325" cy="3724275"/>
            <wp:effectExtent l="0" t="0" r="9525" b="9525"/>
            <wp:docPr id="2" name="图片 2" descr="C:\Users\MYPC\AppData\Local\Microsoft\Windows\INetCache\Content.Word\08土地利用规划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YPC\AppData\Local\Microsoft\Windows\INetCache\Content.Word\08土地利用规划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A5D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wNDM2MzA2YmE2NTJiYjBjZDYzN2QxOTE3Zjg1ODcifQ=="/>
  </w:docVars>
  <w:rsids>
    <w:rsidRoot w:val="00E115DD"/>
    <w:rsid w:val="009C0258"/>
    <w:rsid w:val="00CA5D05"/>
    <w:rsid w:val="00E115DD"/>
    <w:rsid w:val="0C2141CB"/>
    <w:rsid w:val="1C425FB4"/>
    <w:rsid w:val="422B5DCE"/>
    <w:rsid w:val="4CCE6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335</Characters>
  <Application>Microsoft Office Word</Application>
  <DocSecurity>0</DocSecurity>
  <Lines>2</Lines>
  <Paragraphs>1</Paragraphs>
  <ScaleCrop>false</ScaleCrop>
  <Company>常熟电脑公司</Company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管委会</cp:lastModifiedBy>
  <cp:revision>3</cp:revision>
  <dcterms:created xsi:type="dcterms:W3CDTF">2022-09-21T07:11:00Z</dcterms:created>
  <dcterms:modified xsi:type="dcterms:W3CDTF">2024-04-28T01:25:00Z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4F046B39979944BAAAC1936E6D4EDA13</vt:lpwstr>
  </property>
</Properties>
</file>